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Perez v. Bush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 Court of Georgia, Forsyth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Decided; January 16, 2025,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File No. 23SC-0520-A</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2025 Ga. State LEXIS 860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365544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ERICA PEREZ, Plaintiff, v. CARL BUSH, Defendant.</w:t>
      </w:r>
    </w:p>
    <w:p>
      <w:pPr>
        <w:keepNext w:val="0"/>
        <w:spacing w:before="240" w:after="0" w:line="260" w:lineRule="atLeast"/>
        <w:ind w:left="0" w:right="0" w:firstLine="0"/>
        <w:jc w:val="left"/>
      </w:pPr>
      <w:bookmarkStart w:id="2" w:name="Judges"/>
      <w:bookmarkEnd w:id="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JAMES A. DUNN, Judge, State Court of Forsyth County.</w:t>
      </w:r>
    </w:p>
    <w:p>
      <w:pPr>
        <w:keepNext w:val="0"/>
        <w:spacing w:before="240" w:after="0" w:line="260" w:lineRule="atLeast"/>
        <w:ind w:left="0" w:right="0" w:firstLine="0"/>
        <w:jc w:val="left"/>
      </w:pPr>
      <w:bookmarkStart w:id="3" w:name="Opinion by"/>
      <w:bookmarkEnd w:id="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A. DUNN</w:t>
      </w:r>
    </w:p>
    <w:p>
      <w:pPr>
        <w:keepNext/>
        <w:spacing w:before="240" w:after="0" w:line="340" w:lineRule="atLeast"/>
        <w:ind w:left="0" w:right="0" w:firstLine="0"/>
        <w:jc w:val="left"/>
      </w:pPr>
      <w:bookmarkStart w:id="4" w:name="Opinion"/>
      <w:bookmarkEnd w:id="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ON DEFENDANT'S MOTION FOR PARTIAL SUMMARY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above-styled matter came before this Court January 14, 2025, on Defendant's Motion for Partial Summary Judgment on Plaintiff's claims for punitive damages pursuant to O.C.G.A. § 51-12-5.1, and attorney's fees pursuant to O.C.G.A. § 13-6-11. Plaintiff in her response to Defendant's motion explicitly withdraws her claim for punitive damages under O.C.G.A. § 51-12-5.1.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read and considered the motions, supporting briefs, responses thereto and having heard from all parties, and considered all evidence and matters of record, the Court finds as follows: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arises from a motor vehicle collision that occurred on or about November 1, 2021, where Defendant Carl Bush was driving a Chevrolet Cruze when he allegedly failed to yield when turning left striking the side of Plaintiff's 2010 FJ Toyota Cruiser causing Plaintiff's vehicle to roll on to its side. Defendant Carl Bush admits a collision occurred between his vehicle and Plaintiff's vehicle but does not admit he was negligent in causing the collision.</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Law and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 seeks summary judgment on part of Plaintiff's claims - punitive damages pursuant to</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O.C.G.A. § 51-12-5.1, and attorney's fees pursuant to O.C.G.A. § 13-6-11. The Court finds Plaintiff withdrew her claim for punitive damages leaving the sole claim for attorney's fees pursuant to O.C.G.A. § 13-6-11 for consideration by this Court.</w:t>
      </w:r>
    </w:p>
    <w:p>
      <w:pPr>
        <w:keepNext w:val="0"/>
        <w:spacing w:before="200" w:after="0" w:line="260" w:lineRule="atLeast"/>
        <w:ind w:left="0" w:right="0" w:firstLine="0"/>
        <w:jc w:val="both"/>
      </w:pPr>
      <w:bookmarkStart w:id="5" w:name="Bookmark_I6FGP32T2HM5T10020000400"/>
      <w:bookmarkEnd w:id="5"/>
      <w:r>
        <w:rPr>
          <w:rFonts w:ascii="arial" w:eastAsia="arial" w:hAnsi="arial" w:cs="arial"/>
          <w:b w:val="0"/>
          <w:i w:val="0"/>
          <w:strike w:val="0"/>
          <w:noProof w:val="0"/>
          <w:color w:val="000000"/>
          <w:position w:val="0"/>
          <w:sz w:val="20"/>
          <w:u w:val="none"/>
          <w:vertAlign w:val="baseline"/>
        </w:rPr>
        <w:t>"Summary judgment is appropriate when "there is no genuine issue of material fact and that the undisputed facts, viewed in the light most favorable to the nonmoving party, warrants judgment as a matter of law."</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8" w:name="Bookmark_I6FGP32T2HM5T10040000400"/>
      <w:bookmarkEnd w:id="8"/>
      <w:r>
        <w:rPr>
          <w:rFonts w:ascii="arial" w:eastAsia="arial" w:hAnsi="arial" w:cs="arial"/>
          <w:b w:val="0"/>
          <w:i w:val="0"/>
          <w:strike w:val="0"/>
          <w:noProof w:val="0"/>
          <w:color w:val="000000"/>
          <w:position w:val="0"/>
          <w:sz w:val="20"/>
          <w:u w:val="none"/>
          <w:vertAlign w:val="baseline"/>
        </w:rPr>
        <w:t>"A defendant who will not bear the burden of proof at trial need not affirmatively disprove the nonmoving party's case; instead, the burden on the moving party may be discharged by pointing out by reference to the affidavits, depositions and other documents in the record that there is an absence of evidence to support the nonmoving party's case. If the moving party discharges this burden, the nonmoving party cannot rest on its pleadings but rather must point to specific evidence giving rise to a triable issue."</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w:t>
      </w:r>
      <w:r>
        <w:rPr>
          <w:rFonts w:ascii="arial" w:eastAsia="arial" w:hAnsi="arial" w:cs="arial"/>
          <w:b w:val="0"/>
          <w:i/>
          <w:strike w:val="0"/>
          <w:noProof w:val="0"/>
          <w:color w:val="000000"/>
          <w:position w:val="0"/>
          <w:sz w:val="20"/>
          <w:u w:val="none"/>
          <w:vertAlign w:val="baseline"/>
        </w:rPr>
        <w:t>sub judice</w:t>
      </w:r>
      <w:r>
        <w:rPr>
          <w:rFonts w:ascii="arial" w:eastAsia="arial" w:hAnsi="arial" w:cs="arial"/>
          <w:b w:val="0"/>
          <w:i w:val="0"/>
          <w:strike w:val="0"/>
          <w:noProof w:val="0"/>
          <w:color w:val="000000"/>
          <w:position w:val="0"/>
          <w:sz w:val="20"/>
          <w:u w:val="none"/>
          <w:vertAlign w:val="baseline"/>
        </w:rPr>
        <w:t>, Plaintiff has alleged, and Defendant has denied, Defendant's negligence caused the collision on November 1, 2021. The undisputed facts show that Carl Bush was driving a Chevrolet Cruze when he looked right before proceeding on Laurel Springs Parkway and he did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not see any oncoming vehicles.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Defendant Bush then began to cross Laurel Springs Parkway when he observed Plaintiff's vehicle out of the corner of his eye and slammed on brakes to avoid a collision.</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3" w:name="Bookmark_I6FGP32V2D6NSY0010000400"/>
      <w:bookmarkEnd w:id="13"/>
      <w:bookmarkStart w:id="14" w:name="Bookmark_I6FGP32V2D6NSY0030000400"/>
      <w:bookmarkEnd w:id="14"/>
      <w:r>
        <w:rPr>
          <w:rFonts w:ascii="arial" w:eastAsia="arial" w:hAnsi="arial" w:cs="arial"/>
          <w:b w:val="0"/>
          <w:i w:val="0"/>
          <w:strike w:val="0"/>
          <w:noProof w:val="0"/>
          <w:color w:val="000000"/>
          <w:position w:val="0"/>
          <w:sz w:val="20"/>
          <w:u w:val="none"/>
          <w:vertAlign w:val="baseline"/>
        </w:rPr>
        <w:t>As to Plaintiffs' claim for Attorney's Fees Pursuant to O.C.G.A. § 13-6-11 the Court finds O.C.G.A. § 13-6-11 provides, "[t]he expenses of litigation generally shall not be allowed as a part of the damages; but where the plaintiff has specially pleaded and has made prayer therefor and where the defendant has acted in bad faith, has been stubbornly litigious, or has caused the plaintiff unnecessary trouble and expense, the jury may allow them."</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 award under O.C.G.A. § 13-6-11 is only authorized for "conduct arising from the transaction underlying the cause of action being litigated, not conduct during the course of the litigation itself."</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Plaintiff has specially pled for attorney's fees and expenses of litigation in her complaint. Plaintiff seeks attorney's fees and expenses of litigation claiming Defendant has acted in bad faith and has been stubbornly litigious. In support of Plaintiff's bad faith allegation, Plaintiff points to Defendant's payment of a single traffic ticket and no other potential violations of Georgia's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traffic laws or any other competent evidence. Defendant was issued a citation for failure to yield whilst turning left. Defendant testified he pulled out of Publix to go home as he always does when shopping at Publix, entered the middle lane resulting in his car being positioned sideways and he then proceeded straight, not turning left.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After the collision, Defendant walked over to Plaintiff's vehicle on its side to "make sure" Plaintiff was okay.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Even if Plaintiff is correct that Defendant is liable for the collision, the Court finds the facts of this case do not suggest any conscious doing of wrong or bad faith on Defendant's part. At most, he was merely negligent.</w:t>
      </w:r>
    </w:p>
    <w:p>
      <w:pPr>
        <w:keepNext w:val="0"/>
        <w:spacing w:before="200" w:after="0" w:line="260" w:lineRule="atLeast"/>
        <w:ind w:left="0" w:right="0" w:firstLine="0"/>
        <w:jc w:val="both"/>
      </w:pPr>
      <w:bookmarkStart w:id="21" w:name="Bookmark_I6FGP32V2D6NSY0050000400"/>
      <w:bookmarkEnd w:id="21"/>
      <w:r>
        <w:rPr>
          <w:rFonts w:ascii="arial" w:eastAsia="arial" w:hAnsi="arial" w:cs="arial"/>
          <w:b w:val="0"/>
          <w:i w:val="0"/>
          <w:strike w:val="0"/>
          <w:noProof w:val="0"/>
          <w:color w:val="000000"/>
          <w:position w:val="0"/>
          <w:sz w:val="20"/>
          <w:u w:val="none"/>
          <w:vertAlign w:val="baseline"/>
        </w:rPr>
        <w:t>Turning to Plaintiff's claim that Defendant was stubbornly litigious, Plaintiff points to the fact that Defendant "denies full responsibility while offering no evidence of responsibility by another party."</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Court finds to the contrary. While the question of whether a bona fide controversy exists is normally one for a jury to decide, the Court of Appeals has repeatedly held that, if a bona fide controversy clearly exists between the parties, there is not any evidence to support an award based on stubborn litigiousness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or the causing of unnecessary trouble and expense.</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25" w:name="Bookmark_I6FGP32W2N1RC90020000400"/>
      <w:bookmarkEnd w:id="25"/>
      <w:r>
        <w:rPr>
          <w:rFonts w:ascii="arial" w:eastAsia="arial" w:hAnsi="arial" w:cs="arial"/>
          <w:b w:val="0"/>
          <w:i w:val="0"/>
          <w:strike w:val="0"/>
          <w:noProof w:val="0"/>
          <w:color w:val="000000"/>
          <w:position w:val="0"/>
          <w:sz w:val="20"/>
          <w:u w:val="none"/>
          <w:vertAlign w:val="baseline"/>
        </w:rPr>
        <w:t xml:space="preserve">In the case </w:t>
      </w:r>
      <w:r>
        <w:rPr>
          <w:rFonts w:ascii="arial" w:eastAsia="arial" w:hAnsi="arial" w:cs="arial"/>
          <w:b w:val="0"/>
          <w:i/>
          <w:strike w:val="0"/>
          <w:noProof w:val="0"/>
          <w:color w:val="000000"/>
          <w:position w:val="0"/>
          <w:sz w:val="20"/>
          <w:u w:val="none"/>
          <w:vertAlign w:val="baseline"/>
        </w:rPr>
        <w:t>sub judice</w:t>
      </w:r>
      <w:r>
        <w:rPr>
          <w:rFonts w:ascii="arial" w:eastAsia="arial" w:hAnsi="arial" w:cs="arial"/>
          <w:b w:val="0"/>
          <w:i w:val="0"/>
          <w:strike w:val="0"/>
          <w:noProof w:val="0"/>
          <w:color w:val="000000"/>
          <w:position w:val="0"/>
          <w:sz w:val="20"/>
          <w:u w:val="none"/>
          <w:vertAlign w:val="baseline"/>
        </w:rPr>
        <w:t>, Defendant testified he was "absolutely not" distracted by changing the radio, taking a phone call or anything of that nature.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Similar to </w:t>
      </w:r>
      <w:r>
        <w:rPr>
          <w:rFonts w:ascii="arial" w:eastAsia="arial" w:hAnsi="arial" w:cs="arial"/>
          <w:b w:val="0"/>
          <w:i/>
          <w:strike w:val="0"/>
          <w:noProof w:val="0"/>
          <w:color w:val="000000"/>
          <w:position w:val="0"/>
          <w:sz w:val="20"/>
          <w:u w:val="none"/>
          <w:vertAlign w:val="baseline"/>
        </w:rPr>
        <w:t>McKnight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where the plaintiff pointed to the defendant's guilty plea to following too closely as evidence of being stubbornly litigious, Plaintiff here alleges that Defendant's payment of a traffic citation amounts to Defendant being stubbornly litigious. Inapposite to </w:t>
      </w:r>
      <w:r>
        <w:rPr>
          <w:rFonts w:ascii="arial" w:eastAsia="arial" w:hAnsi="arial" w:cs="arial"/>
          <w:b w:val="0"/>
          <w:i/>
          <w:strike w:val="0"/>
          <w:noProof w:val="0"/>
          <w:color w:val="000000"/>
          <w:position w:val="0"/>
          <w:sz w:val="20"/>
          <w:u w:val="none"/>
          <w:vertAlign w:val="baseline"/>
        </w:rPr>
        <w:t>McKnight</w:t>
      </w:r>
      <w:r>
        <w:rPr>
          <w:rFonts w:ascii="arial" w:eastAsia="arial" w:hAnsi="arial" w:cs="arial"/>
          <w:b w:val="0"/>
          <w:i w:val="0"/>
          <w:strike w:val="0"/>
          <w:noProof w:val="0"/>
          <w:color w:val="000000"/>
          <w:position w:val="0"/>
          <w:sz w:val="20"/>
          <w:u w:val="none"/>
          <w:vertAlign w:val="baseline"/>
        </w:rPr>
        <w:t>, the evidence before this Court is the traffic citation does not accurately depict the collision. Additionally, Defendant was unaware of at the time of payment that the citation incorrectly stated he was turning left, that he did not see a vehicle coming toward him and he was unaware of Plaintiff's speed.</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Even if Defendant admitted to at least one negligent act, Defendant disputes the collision actually caused Plaintiff's injuries; thus, there is a bona fide controversy. The Court having found that the evidence supports a finding that a bona fide controversy exists on the issues of liability, causation and damages; there is not any evidence to support an award based on stubborn litigiousness. The Court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finds under the facts of this case 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there is no sufficient evidence to support a claim for attorney's fees on the bases of bad faith or stubborn litigiousness. Thus, Plaintiff is barred from recovering attorneys' fees and expenses of litigation under O.C.G.A. § 13-6-11. Defendant's motion for partial summary judgment as to Plaintiff's claim for attorney's fees pursuant to O.C.G.A. § 13-6-11 is hereby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 xml:space="preserve"> this 16 day of January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James A. Dunn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JAMES A. DUNN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State Court of Forsyth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Bell-Forsyth Judicial Circuit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6" w:name="Bookmark_fnpara_1"/>
      <w:bookmarkEnd w:id="6"/>
      <w:bookmarkStart w:id="7" w:name="Bookmark_I6FGP32T2HM5T10010000400"/>
      <w:bookmarkEnd w:id="7"/>
      <w:r>
        <w:rPr>
          <w:rFonts w:ascii="arial" w:eastAsia="arial" w:hAnsi="arial" w:cs="arial"/>
          <w:b w:val="0"/>
          <w:i/>
          <w:strike w:val="0"/>
          <w:noProof w:val="0"/>
          <w:color w:val="000000"/>
          <w:position w:val="0"/>
          <w:sz w:val="18"/>
          <w:u w:val="none"/>
          <w:vertAlign w:val="baseline"/>
        </w:rPr>
        <w:t>Lau's Corporation, Inc. v. Haskins</w:t>
      </w:r>
      <w:r>
        <w:rPr>
          <w:rFonts w:ascii="arial" w:eastAsia="arial" w:hAnsi="arial" w:cs="arial"/>
          <w:b w:val="0"/>
          <w:i w:val="0"/>
          <w:strike w:val="0"/>
          <w:noProof w:val="0"/>
          <w:color w:val="000000"/>
          <w:position w:val="0"/>
          <w:sz w:val="18"/>
          <w:u w:val="none"/>
          <w:vertAlign w:val="baseline"/>
        </w:rPr>
        <w:t>, 261 Ga. 491; 40 S.E.2d 474 (1991)</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9" w:name="Bookmark_fnpara_2"/>
      <w:bookmarkEnd w:id="9"/>
      <w:bookmarkStart w:id="10" w:name="Bookmark_I6FGP32T2HM5T10030000400"/>
      <w:bookmarkEnd w:id="10"/>
      <w:r>
        <w:rPr>
          <w:rFonts w:ascii="arial" w:eastAsia="arial" w:hAnsi="arial" w:cs="arial"/>
          <w:b w:val="0"/>
          <w:i/>
          <w:strike w:val="0"/>
          <w:noProof w:val="0"/>
          <w:color w:val="000000"/>
          <w:position w:val="0"/>
          <w:sz w:val="18"/>
          <w:u w:val="none"/>
          <w:vertAlign w:val="baseline"/>
        </w:rPr>
        <w:t>Bashlor v. Walker</w:t>
      </w:r>
      <w:r>
        <w:rPr>
          <w:rFonts w:ascii="arial" w:eastAsia="arial" w:hAnsi="arial" w:cs="arial"/>
          <w:b w:val="0"/>
          <w:i w:val="0"/>
          <w:strike w:val="0"/>
          <w:noProof w:val="0"/>
          <w:color w:val="000000"/>
          <w:position w:val="0"/>
          <w:sz w:val="18"/>
          <w:u w:val="none"/>
          <w:vertAlign w:val="baseline"/>
        </w:rPr>
        <w:t>, 303 Ga.App. 478; 693 S.E.2d 858(2010)</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Carl Bush's Deposition p. 21.</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2" w:name="Bookmark_fnpara_4"/>
      <w:bookmarkEnd w:id="12"/>
      <w:r>
        <w:rPr>
          <w:rFonts w:ascii="arial" w:eastAsia="arial" w:hAnsi="arial" w:cs="arial"/>
          <w:b w:val="0"/>
          <w:i w:val="0"/>
          <w:strike w:val="0"/>
          <w:noProof w:val="0"/>
          <w:color w:val="000000"/>
          <w:position w:val="0"/>
          <w:sz w:val="18"/>
          <w:u w:val="none"/>
          <w:vertAlign w:val="baseline"/>
        </w:rPr>
        <w:t>Carl Bush's Deposition p. 21.</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5" w:name="Bookmark_fnpara_5"/>
      <w:bookmarkEnd w:id="15"/>
      <w:bookmarkStart w:id="16" w:name="Bookmark_I6FGP32T2HM5T10050000400"/>
      <w:bookmarkEnd w:id="16"/>
      <w:r>
        <w:rPr>
          <w:rFonts w:ascii="arial" w:eastAsia="arial" w:hAnsi="arial" w:cs="arial"/>
          <w:b w:val="0"/>
          <w:i/>
          <w:strike w:val="0"/>
          <w:noProof w:val="0"/>
          <w:color w:val="000000"/>
          <w:position w:val="0"/>
          <w:sz w:val="18"/>
          <w:u w:val="none"/>
          <w:vertAlign w:val="baseline"/>
        </w:rPr>
        <w:t>McKnight v. Love</w:t>
      </w:r>
      <w:r>
        <w:rPr>
          <w:rFonts w:ascii="arial" w:eastAsia="arial" w:hAnsi="arial" w:cs="arial"/>
          <w:b w:val="0"/>
          <w:i w:val="0"/>
          <w:strike w:val="0"/>
          <w:noProof w:val="0"/>
          <w:color w:val="000000"/>
          <w:position w:val="0"/>
          <w:sz w:val="18"/>
          <w:u w:val="none"/>
          <w:vertAlign w:val="baseline"/>
        </w:rPr>
        <w:t>, 369 Ga.App. 812; 894 S.E.2d 110(2023); certiorari granted by the Supreme Court of Georgia (</w:t>
      </w:r>
      <w:r>
        <w:rPr>
          <w:rFonts w:ascii="arial" w:eastAsia="arial" w:hAnsi="arial" w:cs="arial"/>
          <w:b w:val="0"/>
          <w:i/>
          <w:strike w:val="0"/>
          <w:noProof w:val="0"/>
          <w:color w:val="000000"/>
          <w:position w:val="0"/>
          <w:sz w:val="18"/>
          <w:u w:val="none"/>
          <w:vertAlign w:val="baseline"/>
        </w:rPr>
        <w:t xml:space="preserve">Case no. </w:t>
      </w:r>
      <w:r>
        <w:rPr>
          <w:rFonts w:ascii="arial" w:eastAsia="arial" w:hAnsi="arial" w:cs="arial"/>
          <w:b w:val="0"/>
          <w:i/>
          <w:strike w:val="0"/>
          <w:noProof w:val="0"/>
          <w:color w:val="000000"/>
          <w:position w:val="0"/>
          <w:sz w:val="18"/>
          <w:u w:val="none"/>
          <w:vertAlign w:val="baseline"/>
        </w:rPr>
        <w:t>S24G0371</w:t>
      </w:r>
      <w:r>
        <w:rPr>
          <w:rFonts w:ascii="arial" w:eastAsia="arial" w:hAnsi="arial" w:cs="arial"/>
          <w:b w:val="0"/>
          <w:i w:val="0"/>
          <w:strike w:val="0"/>
          <w:noProof w:val="0"/>
          <w:color w:val="000000"/>
          <w:position w:val="0"/>
          <w:sz w:val="18"/>
          <w:u w:val="none"/>
          <w:vertAlign w:val="baseline"/>
        </w:rPr>
        <w:t>) on the issue of whether evidence of traffic violations by a party is sufficient to create a jury question as to whether that party acted in bad faith for the purposes of authorizing an award of the expenses of litigation under O.C.G.A. §13-6-11.</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7" w:name="Bookmark_fnpara_6"/>
      <w:bookmarkEnd w:id="17"/>
      <w:bookmarkStart w:id="18" w:name="Bookmark_I6FGP32V2D6NSY0020000400"/>
      <w:bookmarkEnd w:id="18"/>
      <w:r>
        <w:rPr>
          <w:rFonts w:ascii="arial" w:eastAsia="arial" w:hAnsi="arial" w:cs="arial"/>
          <w:b w:val="0"/>
          <w:i/>
          <w:strike w:val="0"/>
          <w:noProof w:val="0"/>
          <w:color w:val="000000"/>
          <w:position w:val="0"/>
          <w:sz w:val="18"/>
          <w:u w:val="none"/>
          <w:vertAlign w:val="baseline"/>
        </w:rPr>
        <w:t>David G. Brown, P.E., Inc. v. Kent</w:t>
      </w:r>
      <w:r>
        <w:rPr>
          <w:rFonts w:ascii="arial" w:eastAsia="arial" w:hAnsi="arial" w:cs="arial"/>
          <w:b w:val="0"/>
          <w:i w:val="0"/>
          <w:strike w:val="0"/>
          <w:noProof w:val="0"/>
          <w:color w:val="000000"/>
          <w:position w:val="0"/>
          <w:sz w:val="18"/>
          <w:u w:val="none"/>
          <w:vertAlign w:val="baseline"/>
        </w:rPr>
        <w:t>, 274 Ga. 849, 561 S.E.2d 89, 90 (Ga. 2002).</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19" w:name="Bookmark_fnpara_7"/>
      <w:bookmarkEnd w:id="19"/>
      <w:r>
        <w:rPr>
          <w:rFonts w:ascii="arial" w:eastAsia="arial" w:hAnsi="arial" w:cs="arial"/>
          <w:b w:val="0"/>
          <w:i w:val="0"/>
          <w:strike w:val="0"/>
          <w:noProof w:val="0"/>
          <w:color w:val="000000"/>
          <w:position w:val="0"/>
          <w:sz w:val="18"/>
          <w:u w:val="none"/>
          <w:vertAlign w:val="baseline"/>
        </w:rPr>
        <w:t>Carl Bush's Deposition pp. 19-21, 30 34, 36, 50. Defendant vehemently testifies he was not turning left throughout his entire deposition.</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20" w:name="Bookmark_fnpara_8"/>
      <w:bookmarkEnd w:id="20"/>
      <w:r>
        <w:rPr>
          <w:rFonts w:ascii="arial" w:eastAsia="arial" w:hAnsi="arial" w:cs="arial"/>
          <w:b w:val="0"/>
          <w:i w:val="0"/>
          <w:strike w:val="0"/>
          <w:noProof w:val="0"/>
          <w:color w:val="000000"/>
          <w:position w:val="0"/>
          <w:sz w:val="18"/>
          <w:u w:val="none"/>
          <w:vertAlign w:val="baseline"/>
        </w:rPr>
        <w:t>Carl Bush's Deposition p. 39, 49.</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22" w:name="Bookmark_fnpara_9"/>
      <w:bookmarkEnd w:id="22"/>
      <w:r>
        <w:rPr>
          <w:rFonts w:ascii="arial" w:eastAsia="arial" w:hAnsi="arial" w:cs="arial"/>
          <w:b w:val="0"/>
          <w:i w:val="0"/>
          <w:strike w:val="0"/>
          <w:noProof w:val="0"/>
          <w:color w:val="000000"/>
          <w:position w:val="0"/>
          <w:sz w:val="18"/>
          <w:u w:val="none"/>
          <w:vertAlign w:val="baseline"/>
        </w:rPr>
        <w:t>Plaintiff's Response in Opposition to Defendant's Motion for Partial Summary Judgment p.8.</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23" w:name="Bookmark_fnpara_10"/>
      <w:bookmarkEnd w:id="23"/>
      <w:bookmarkStart w:id="24" w:name="Bookmark_I6FGP32V2D6NSY0040000400"/>
      <w:bookmarkEnd w:id="24"/>
      <w:r>
        <w:rPr>
          <w:rFonts w:ascii="arial" w:eastAsia="arial" w:hAnsi="arial" w:cs="arial"/>
          <w:b w:val="0"/>
          <w:i/>
          <w:strike w:val="0"/>
          <w:noProof w:val="0"/>
          <w:color w:val="000000"/>
          <w:position w:val="0"/>
          <w:sz w:val="18"/>
          <w:u w:val="none"/>
          <w:vertAlign w:val="baseline"/>
        </w:rPr>
        <w:t>McKnight v. Love</w:t>
      </w:r>
      <w:r>
        <w:rPr>
          <w:rFonts w:ascii="arial" w:eastAsia="arial" w:hAnsi="arial" w:cs="arial"/>
          <w:b w:val="0"/>
          <w:i w:val="0"/>
          <w:strike w:val="0"/>
          <w:noProof w:val="0"/>
          <w:color w:val="000000"/>
          <w:position w:val="0"/>
          <w:sz w:val="18"/>
          <w:u w:val="none"/>
          <w:vertAlign w:val="baseline"/>
        </w:rPr>
        <w:t>, 369 Ga.App. 812, 821.</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26" w:name="Bookmark_fnpara_11"/>
      <w:bookmarkEnd w:id="26"/>
      <w:r>
        <w:rPr>
          <w:rFonts w:ascii="arial" w:eastAsia="arial" w:hAnsi="arial" w:cs="arial"/>
          <w:b w:val="0"/>
          <w:i w:val="0"/>
          <w:strike w:val="0"/>
          <w:noProof w:val="0"/>
          <w:color w:val="000000"/>
          <w:position w:val="0"/>
          <w:sz w:val="18"/>
          <w:u w:val="none"/>
          <w:vertAlign w:val="baseline"/>
        </w:rPr>
        <w:t>Carl Bush's Deposition pp. 17-18, 45.</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27" w:name="Bookmark_fnpara_12"/>
      <w:bookmarkEnd w:id="27"/>
      <w:bookmarkStart w:id="28" w:name="Bookmark_I6FGP32W2N1RC90010000400"/>
      <w:bookmarkEnd w:id="28"/>
      <w:r>
        <w:rPr>
          <w:rFonts w:ascii="arial" w:eastAsia="arial" w:hAnsi="arial" w:cs="arial"/>
          <w:b w:val="0"/>
          <w:i/>
          <w:strike w:val="0"/>
          <w:noProof w:val="0"/>
          <w:color w:val="000000"/>
          <w:position w:val="0"/>
          <w:sz w:val="18"/>
          <w:u w:val="none"/>
          <w:vertAlign w:val="baseline"/>
        </w:rPr>
        <w:t>McKnight v. Love</w:t>
      </w:r>
      <w:r>
        <w:rPr>
          <w:rFonts w:ascii="arial" w:eastAsia="arial" w:hAnsi="arial" w:cs="arial"/>
          <w:b w:val="0"/>
          <w:i w:val="0"/>
          <w:strike w:val="0"/>
          <w:noProof w:val="0"/>
          <w:color w:val="000000"/>
          <w:position w:val="0"/>
          <w:sz w:val="18"/>
          <w:u w:val="none"/>
          <w:vertAlign w:val="baseline"/>
        </w:rPr>
        <w:t>, 369 Ga.App. 812</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29" w:name="Bookmark_fnpara_13"/>
      <w:bookmarkEnd w:id="29"/>
      <w:r>
        <w:rPr>
          <w:rFonts w:ascii="arial" w:eastAsia="arial" w:hAnsi="arial" w:cs="arial"/>
          <w:b w:val="0"/>
          <w:i w:val="0"/>
          <w:strike w:val="0"/>
          <w:noProof w:val="0"/>
          <w:color w:val="000000"/>
          <w:position w:val="0"/>
          <w:sz w:val="18"/>
          <w:u w:val="none"/>
          <w:vertAlign w:val="baseline"/>
        </w:rPr>
        <w:t>Carl Bush's Deposition p. 51.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Perez v. Bush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Perez v. Bush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FDD-M1V3-RRM3-837H-00000-00">
    <vt:lpwstr>Doc::/shared/document|contextualFeaturePermID::1530671</vt:lpwstr>
  </property>
  <property fmtid="{D5CDD505-2E9C-101B-9397-08002B2CF9AE}" pid="4" name="LNDeliveryID">
    <vt:lpwstr>279847180</vt:lpwstr>
  </property>
  <property fmtid="{D5CDD505-2E9C-101B-9397-08002B2CF9AE}" pid="5" name="UserPermID">
    <vt:lpwstr>urn:user:PA197239389</vt:lpwstr>
  </property>
</Properties>
</file>