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 Id="rId4" Type="http://schemas.openxmlformats.org/officeDocument/2006/relationships/custom-properties" Target="docProps/custom.xml" /></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 Generated by Aspose.Words for .NET 26.2.0 -->
  <w:body>
    <w:p>
      <w:pPr>
        <w:sectPr>
          <w:headerReference w:type="default" r:id="rId5"/>
          <w:footerReference w:type="default" r:id="rId6"/>
          <w:footerReference w:type="first" r:id="rId7"/>
          <w:pgSz w:w="12240" w:h="15840"/>
          <w:pgMar w:top="840" w:right="1000" w:bottom="840" w:left="1000" w:header="400" w:footer="400"/>
          <w:pgNumType w:fmt="decimal"/>
          <w:cols w:space="720"/>
          <w:titlePg/>
        </w:sectPr>
      </w:pPr>
    </w:p>
    <w:p>
      <w:pPr>
        <w:pStyle w:val="Heading1"/>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Randolph</w:t>
      </w:r>
      <w:r>
        <w:rPr>
          <w:rFonts w:ascii="arial" w:eastAsia="arial" w:hAnsi="arial" w:cs="arial"/>
          <w:b/>
          <w:i w:val="0"/>
          <w:strike w:val="0"/>
          <w:noProof w:val="0"/>
          <w:color w:val="000000"/>
          <w:position w:val="0"/>
          <w:sz w:val="28"/>
          <w:u w:val="none"/>
          <w:vertAlign w:val="baseline"/>
        </w:rPr>
        <w:t xml:space="preserve"> v. </w:t>
      </w:r>
      <w:r>
        <w:rPr>
          <w:rFonts w:ascii="arial" w:eastAsia="arial" w:hAnsi="arial" w:cs="arial"/>
          <w:b/>
          <w:i w:val="0"/>
          <w:strike w:val="0"/>
          <w:noProof w:val="0"/>
          <w:color w:val="000000"/>
          <w:position w:val="0"/>
          <w:sz w:val="28"/>
          <w:u w:val="none"/>
          <w:vertAlign w:val="baseline"/>
        </w:rPr>
        <w:t>State</w:t>
      </w:r>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Supreme Court of Georgia</w:t>
      </w:r>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August 21, 2023, Decided</w:t>
      </w:r>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S23A0636</w:t>
      </w:r>
      <w:r>
        <w:rPr>
          <w:rFonts w:ascii="arial" w:eastAsia="arial" w:hAnsi="arial" w:cs="arial"/>
          <w:b w:val="0"/>
          <w:i w:val="0"/>
          <w:strike w:val="0"/>
          <w:noProof w:val="0"/>
          <w:color w:val="000000"/>
          <w:position w:val="0"/>
          <w:sz w:val="20"/>
          <w:u w:val="none"/>
          <w:vertAlign w:val="baseline"/>
        </w:rPr>
        <w:t>.</w:t>
      </w:r>
    </w:p>
    <w:p>
      <w:pPr>
        <w:keepNext w:val="0"/>
        <w:spacing w:after="0" w:line="240" w:lineRule="atLeast"/>
        <w:ind w:right="0"/>
        <w:jc w:val="both"/>
      </w:pPr>
      <w:bookmarkStart w:id="0" w:name="Bookmark_1"/>
      <w:bookmarkEnd w:id="0"/>
    </w:p>
    <w:p>
      <w:pPr>
        <w:keepNext w:val="0"/>
        <w:spacing w:before="200" w:after="0" w:line="240" w:lineRule="atLeast"/>
        <w:ind w:left="0" w:right="0" w:firstLine="0"/>
        <w:jc w:val="left"/>
      </w:pPr>
      <w:bookmarkStart w:id="1" w:name="Reporter"/>
      <w:bookmarkEnd w:id="1"/>
      <w:r>
        <w:rPr>
          <w:rFonts w:ascii="arial" w:eastAsia="arial" w:hAnsi="arial" w:cs="arial"/>
          <w:b/>
          <w:i w:val="0"/>
          <w:strike w:val="0"/>
          <w:noProof w:val="0"/>
          <w:color w:val="000000"/>
          <w:position w:val="0"/>
          <w:sz w:val="18"/>
          <w:u w:val="none"/>
          <w:vertAlign w:val="baseline"/>
        </w:rPr>
        <w:t>Reporter</w:t>
      </w:r>
    </w:p>
    <w:p>
      <w:pPr>
        <w:keepNext w:val="0"/>
        <w:spacing w:after="0" w:line="240" w:lineRule="atLeast"/>
        <w:ind w:left="0" w:right="0" w:firstLine="0"/>
        <w:jc w:val="left"/>
      </w:pPr>
      <w:r>
        <w:rPr>
          <w:rFonts w:ascii="arial" w:eastAsia="arial" w:hAnsi="arial" w:cs="arial"/>
          <w:b w:val="0"/>
          <w:i w:val="0"/>
          <w:strike w:val="0"/>
          <w:noProof w:val="0"/>
          <w:color w:val="000000"/>
          <w:position w:val="0"/>
          <w:sz w:val="18"/>
          <w:u w:val="none"/>
          <w:vertAlign w:val="baseline"/>
        </w:rPr>
        <w:t>317 Ga. 146 *</w:t>
      </w:r>
      <w:r>
        <w:rPr>
          <w:rFonts w:ascii="arial" w:eastAsia="arial" w:hAnsi="arial" w:cs="arial"/>
          <w:b w:val="0"/>
          <w:i w:val="0"/>
          <w:strike w:val="0"/>
          <w:noProof w:val="0"/>
          <w:color w:val="000000"/>
          <w:position w:val="0"/>
          <w:sz w:val="18"/>
          <w:u w:val="none"/>
          <w:vertAlign w:val="baseline"/>
        </w:rPr>
        <w:t xml:space="preserve">; </w:t>
      </w:r>
      <w:r>
        <w:rPr>
          <w:rFonts w:ascii="arial" w:eastAsia="arial" w:hAnsi="arial" w:cs="arial"/>
          <w:b w:val="0"/>
          <w:i w:val="0"/>
          <w:strike w:val="0"/>
          <w:noProof w:val="0"/>
          <w:color w:val="000000"/>
          <w:position w:val="0"/>
          <w:sz w:val="18"/>
          <w:u w:val="none"/>
          <w:vertAlign w:val="baseline"/>
        </w:rPr>
        <w:t>891 S.E.2d 818 **</w:t>
      </w:r>
      <w:r>
        <w:rPr>
          <w:rFonts w:ascii="arial" w:eastAsia="arial" w:hAnsi="arial" w:cs="arial"/>
          <w:b w:val="0"/>
          <w:i w:val="0"/>
          <w:strike w:val="0"/>
          <w:noProof w:val="0"/>
          <w:color w:val="000000"/>
          <w:position w:val="0"/>
          <w:sz w:val="18"/>
          <w:u w:val="none"/>
          <w:vertAlign w:val="baseline"/>
        </w:rPr>
        <w:t xml:space="preserve">; </w:t>
      </w:r>
      <w:r>
        <w:rPr>
          <w:rFonts w:ascii="arial" w:eastAsia="arial" w:hAnsi="arial" w:cs="arial"/>
          <w:b w:val="0"/>
          <w:i w:val="0"/>
          <w:strike w:val="0"/>
          <w:noProof w:val="0"/>
          <w:color w:val="000000"/>
          <w:position w:val="0"/>
          <w:sz w:val="18"/>
          <w:u w:val="none"/>
          <w:vertAlign w:val="baseline"/>
        </w:rPr>
        <w:t>2023 Ga. LEXIS 181 ***</w:t>
      </w:r>
    </w:p>
    <w:p>
      <w:pPr>
        <w:keepNext w:val="0"/>
        <w:spacing w:before="240" w:after="0" w:line="260" w:lineRule="atLeast"/>
        <w:ind w:left="0" w:right="0" w:firstLine="0"/>
        <w:jc w:val="left"/>
      </w:pPr>
      <w:r>
        <w:br/>
      </w:r>
      <w:r>
        <w:rPr>
          <w:rFonts w:ascii="arial" w:eastAsia="arial" w:hAnsi="arial" w:cs="arial"/>
          <w:b w:val="0"/>
          <w:i w:val="0"/>
          <w:strike w:val="0"/>
          <w:noProof w:val="0"/>
          <w:color w:val="000000"/>
          <w:position w:val="0"/>
          <w:sz w:val="20"/>
          <w:u w:val="none"/>
          <w:vertAlign w:val="baseline"/>
        </w:rPr>
        <w:t>RANDOLPH</w:t>
      </w:r>
      <w:r>
        <w:rPr>
          <w:rFonts w:ascii="arial" w:eastAsia="arial" w:hAnsi="arial" w:cs="arial"/>
          <w:b w:val="0"/>
          <w:i w:val="0"/>
          <w:strike w:val="0"/>
          <w:noProof w:val="0"/>
          <w:color w:val="000000"/>
          <w:position w:val="0"/>
          <w:sz w:val="20"/>
          <w:u w:val="none"/>
          <w:vertAlign w:val="baseline"/>
        </w:rPr>
        <w:t xml:space="preserve"> v. THE </w:t>
      </w:r>
      <w:r>
        <w:rPr>
          <w:rFonts w:ascii="arial" w:eastAsia="arial" w:hAnsi="arial" w:cs="arial"/>
          <w:b w:val="0"/>
          <w:i w:val="0"/>
          <w:strike w:val="0"/>
          <w:noProof w:val="0"/>
          <w:color w:val="000000"/>
          <w:position w:val="0"/>
          <w:sz w:val="20"/>
          <w:u w:val="none"/>
          <w:vertAlign w:val="baseline"/>
        </w:rPr>
        <w:t>STATE</w:t>
      </w:r>
      <w:r>
        <w:rPr>
          <w:rFonts w:ascii="arial" w:eastAsia="arial" w:hAnsi="arial" w:cs="arial"/>
          <w:b w:val="0"/>
          <w:i w:val="0"/>
          <w:strike w:val="0"/>
          <w:noProof w:val="0"/>
          <w:color w:val="000000"/>
          <w:position w:val="0"/>
          <w:sz w:val="20"/>
          <w:u w:val="none"/>
          <w:vertAlign w:val="baseline"/>
        </w:rPr>
        <w:t>.</w:t>
      </w:r>
    </w:p>
    <w:p>
      <w:pPr>
        <w:keepNext w:val="0"/>
        <w:spacing w:before="240" w:after="0" w:line="260" w:lineRule="atLeast"/>
        <w:ind w:left="0" w:right="0" w:firstLine="0"/>
        <w:jc w:val="both"/>
      </w:pPr>
      <w:bookmarkStart w:id="2" w:name="Prior History"/>
      <w:bookmarkEnd w:id="2"/>
      <w:r>
        <w:rPr>
          <w:rFonts w:ascii="arial" w:eastAsia="arial" w:hAnsi="arial" w:cs="arial"/>
          <w:b/>
          <w:i w:val="0"/>
          <w:strike w:val="0"/>
          <w:noProof w:val="0"/>
          <w:color w:val="000000"/>
          <w:position w:val="0"/>
          <w:sz w:val="20"/>
          <w:u w:val="none"/>
          <w:vertAlign w:val="baseline"/>
        </w:rPr>
        <w:t>Prior History:</w:t>
      </w:r>
      <w:r>
        <w:rPr>
          <w:rFonts w:ascii="arial" w:eastAsia="arial" w:hAnsi="arial" w:cs="arial"/>
          <w:b w:val="0"/>
          <w:i w:val="0"/>
          <w:strike w:val="0"/>
          <w:noProof w:val="0"/>
          <w:color w:val="000000"/>
          <w:position w:val="0"/>
          <w:sz w:val="20"/>
          <w:u w:val="none"/>
          <w:vertAlign w:val="baseline"/>
        </w:rPr>
        <w:t> </w:t>
      </w:r>
      <w:r>
        <w:rPr>
          <w:rFonts w:ascii="arial" w:eastAsia="arial" w:hAnsi="arial" w:cs="arial"/>
          <w:b w:val="0"/>
          <w:i w:val="0"/>
          <w:strike w:val="0"/>
          <w:noProof w:val="0"/>
          <w:color w:val="000000"/>
          <w:position w:val="0"/>
          <w:sz w:val="20"/>
          <w:u w:val="none"/>
          <w:vertAlign w:val="baseline"/>
        </w:rPr>
        <w:t>Murder. Cobb Superior Court. Before Judge Flournoy.</w:t>
      </w:r>
    </w:p>
    <w:p>
      <w:pPr>
        <w:keepNext w:val="0"/>
        <w:spacing w:before="240" w:after="0" w:line="260" w:lineRule="atLeast"/>
        <w:ind w:left="0" w:right="0" w:firstLine="0"/>
        <w:jc w:val="both"/>
      </w:pPr>
      <w:bookmarkStart w:id="3" w:name="Disposition"/>
      <w:bookmarkEnd w:id="3"/>
      <w:r>
        <w:rPr>
          <w:rFonts w:ascii="arial" w:eastAsia="arial" w:hAnsi="arial" w:cs="arial"/>
          <w:b/>
          <w:i w:val="0"/>
          <w:strike w:val="0"/>
          <w:noProof w:val="0"/>
          <w:color w:val="000000"/>
          <w:position w:val="0"/>
          <w:sz w:val="20"/>
          <w:u w:val="none"/>
          <w:vertAlign w:val="baseline"/>
        </w:rPr>
        <w:t>Disposition:</w:t>
      </w:r>
      <w:r>
        <w:rPr>
          <w:rFonts w:ascii="arial" w:eastAsia="arial" w:hAnsi="arial" w:cs="arial"/>
          <w:b w:val="0"/>
          <w:i w:val="0"/>
          <w:strike w:val="0"/>
          <w:noProof w:val="0"/>
          <w:color w:val="000000"/>
          <w:position w:val="0"/>
          <w:sz w:val="20"/>
          <w:u w:val="none"/>
          <w:vertAlign w:val="baseline"/>
        </w:rPr>
        <w:t> </w:t>
      </w:r>
      <w:bookmarkStart w:id="4" w:name="Bookmark_clspara_4"/>
      <w:bookmarkEnd w:id="4"/>
      <w:r>
        <w:rPr>
          <w:rFonts w:ascii="arial" w:eastAsia="arial" w:hAnsi="arial" w:cs="arial"/>
          <w:b w:val="0"/>
          <w:i w:val="0"/>
          <w:strike w:val="0"/>
          <w:noProof w:val="0"/>
          <w:color w:val="000000"/>
          <w:position w:val="0"/>
          <w:sz w:val="20"/>
          <w:u w:val="none"/>
          <w:vertAlign w:val="baseline"/>
        </w:rPr>
        <w:t>Judgment affirmed.</w:t>
      </w:r>
    </w:p>
    <w:p>
      <w:pPr>
        <w:keepNext w:val="0"/>
        <w:spacing w:before="240" w:after="0" w:line="260" w:lineRule="atLeast"/>
        <w:ind w:left="0" w:right="0" w:firstLine="0"/>
        <w:jc w:val="left"/>
      </w:pPr>
      <w:bookmarkStart w:id="5" w:name="Counsel"/>
      <w:bookmarkEnd w:id="5"/>
      <w:r>
        <w:rPr>
          <w:rFonts w:ascii="arial" w:eastAsia="arial" w:hAnsi="arial" w:cs="arial"/>
          <w:b/>
          <w:i w:val="0"/>
          <w:strike w:val="0"/>
          <w:noProof w:val="0"/>
          <w:color w:val="000000"/>
          <w:position w:val="0"/>
          <w:sz w:val="20"/>
          <w:u w:val="none"/>
          <w:vertAlign w:val="baseline"/>
        </w:rPr>
        <w:t>Counsel:</w:t>
      </w:r>
      <w:r>
        <w:rPr>
          <w:rFonts w:ascii="arial" w:eastAsia="arial" w:hAnsi="arial" w:cs="arial"/>
          <w:b w:val="0"/>
          <w:i w:val="0"/>
          <w:strike w:val="0"/>
          <w:noProof w:val="0"/>
          <w:color w:val="000000"/>
          <w:position w:val="0"/>
          <w:sz w:val="20"/>
          <w:u w:val="none"/>
          <w:vertAlign w:val="baseline"/>
        </w:rPr>
        <w:t> </w:t>
      </w:r>
      <w:r>
        <w:rPr>
          <w:rFonts w:ascii="arial" w:eastAsia="arial" w:hAnsi="arial" w:cs="arial"/>
          <w:b w:val="0"/>
          <w:i/>
          <w:strike w:val="0"/>
          <w:noProof w:val="0"/>
          <w:color w:val="000000"/>
          <w:position w:val="0"/>
          <w:sz w:val="20"/>
          <w:u w:val="none"/>
          <w:vertAlign w:val="baseline"/>
        </w:rPr>
        <w:t>Star Law, F. Michael Starosto</w:t>
      </w:r>
      <w:r>
        <w:rPr>
          <w:rFonts w:ascii="arial" w:eastAsia="arial" w:hAnsi="arial" w:cs="arial"/>
          <w:b w:val="0"/>
          <w:i w:val="0"/>
          <w:strike w:val="0"/>
          <w:noProof w:val="0"/>
          <w:color w:val="000000"/>
          <w:position w:val="0"/>
          <w:sz w:val="20"/>
          <w:u w:val="none"/>
          <w:vertAlign w:val="baseline"/>
        </w:rPr>
        <w:t>, for appellant.</w:t>
      </w:r>
    </w:p>
    <w:p>
      <w:pPr>
        <w:keepNext w:val="0"/>
        <w:spacing w:before="240" w:after="0" w:line="260" w:lineRule="atLeast"/>
        <w:ind w:left="0" w:right="0" w:firstLine="0"/>
        <w:jc w:val="left"/>
      </w:pPr>
      <w:r>
        <w:br/>
      </w:r>
      <w:r>
        <w:rPr>
          <w:rFonts w:ascii="arial" w:eastAsia="arial" w:hAnsi="arial" w:cs="arial"/>
          <w:b w:val="0"/>
          <w:i/>
          <w:strike w:val="0"/>
          <w:noProof w:val="0"/>
          <w:color w:val="000000"/>
          <w:position w:val="0"/>
          <w:sz w:val="20"/>
          <w:u w:val="none"/>
          <w:vertAlign w:val="baseline"/>
        </w:rPr>
        <w:t>Flynn D. Broady, Jr., District Attorney, Linda J. Dunikoski, Assistant District Attorney; Christopher M. Carr, Attorney General, Beth A. Burton, Deputy Attorney General, Paula K. Smith, Senior Assistant Attorney General, Matthew B. Crowder, Assistant Attorney General</w:t>
      </w:r>
      <w:r>
        <w:rPr>
          <w:rFonts w:ascii="arial" w:eastAsia="arial" w:hAnsi="arial" w:cs="arial"/>
          <w:b w:val="0"/>
          <w:i w:val="0"/>
          <w:strike w:val="0"/>
          <w:noProof w:val="0"/>
          <w:color w:val="000000"/>
          <w:position w:val="0"/>
          <w:sz w:val="20"/>
          <w:u w:val="none"/>
          <w:vertAlign w:val="baseline"/>
        </w:rPr>
        <w:t>, for appellee.</w:t>
      </w:r>
    </w:p>
    <w:p>
      <w:pPr>
        <w:keepNext w:val="0"/>
        <w:spacing w:before="240" w:after="0" w:line="260" w:lineRule="atLeast"/>
        <w:ind w:left="0" w:right="0" w:firstLine="0"/>
        <w:jc w:val="left"/>
      </w:pPr>
      <w:bookmarkStart w:id="6" w:name="Judges"/>
      <w:bookmarkEnd w:id="6"/>
      <w:r>
        <w:rPr>
          <w:rFonts w:ascii="arial" w:eastAsia="arial" w:hAnsi="arial" w:cs="arial"/>
          <w:b/>
          <w:i w:val="0"/>
          <w:strike w:val="0"/>
          <w:noProof w:val="0"/>
          <w:color w:val="000000"/>
          <w:position w:val="0"/>
          <w:sz w:val="20"/>
          <w:u w:val="none"/>
          <w:vertAlign w:val="baseline"/>
        </w:rPr>
        <w:t>Judges:</w:t>
      </w:r>
      <w:r>
        <w:rPr>
          <w:rFonts w:ascii="arial" w:eastAsia="arial" w:hAnsi="arial" w:cs="arial"/>
          <w:b w:val="0"/>
          <w:i w:val="0"/>
          <w:strike w:val="0"/>
          <w:noProof w:val="0"/>
          <w:color w:val="000000"/>
          <w:position w:val="0"/>
          <w:sz w:val="20"/>
          <w:u w:val="none"/>
          <w:vertAlign w:val="baseline"/>
        </w:rPr>
        <w:t> </w:t>
      </w:r>
      <w:r>
        <w:rPr>
          <w:rFonts w:ascii="arial" w:eastAsia="arial" w:hAnsi="arial" w:cs="arial"/>
          <w:b w:val="0"/>
          <w:i w:val="0"/>
          <w:strike w:val="0"/>
          <w:noProof w:val="0"/>
          <w:color w:val="000000"/>
          <w:position w:val="0"/>
          <w:sz w:val="20"/>
          <w:u w:val="none"/>
          <w:vertAlign w:val="baseline"/>
        </w:rPr>
        <w:t> [***1] </w:t>
      </w:r>
      <w:r>
        <w:rPr>
          <w:rFonts w:ascii="arial" w:eastAsia="arial" w:hAnsi="arial" w:cs="arial"/>
          <w:b w:val="0"/>
          <w:i w:val="0"/>
          <w:strike w:val="0"/>
          <w:noProof w:val="0"/>
          <w:color w:val="000000"/>
          <w:position w:val="0"/>
          <w:sz w:val="20"/>
          <w:u w:val="none"/>
          <w:vertAlign w:val="baseline"/>
        </w:rPr>
        <w:t>McMILLIAN, Justice. All the Justices concur.</w:t>
      </w:r>
    </w:p>
    <w:p>
      <w:pPr>
        <w:keepNext w:val="0"/>
        <w:spacing w:before="240" w:after="0" w:line="260" w:lineRule="atLeast"/>
        <w:ind w:left="0" w:right="0" w:firstLine="0"/>
        <w:jc w:val="left"/>
      </w:pPr>
      <w:bookmarkStart w:id="7" w:name="Opinion by"/>
      <w:bookmarkEnd w:id="7"/>
      <w:r>
        <w:rPr>
          <w:rFonts w:ascii="arial" w:eastAsia="arial" w:hAnsi="arial" w:cs="arial"/>
          <w:b/>
          <w:i w:val="0"/>
          <w:strike w:val="0"/>
          <w:noProof w:val="0"/>
          <w:color w:val="000000"/>
          <w:position w:val="0"/>
          <w:sz w:val="20"/>
          <w:u w:val="none"/>
          <w:vertAlign w:val="baseline"/>
        </w:rPr>
        <w:t>Opinion by:</w:t>
      </w:r>
      <w:r>
        <w:rPr>
          <w:rFonts w:ascii="arial" w:eastAsia="arial" w:hAnsi="arial" w:cs="arial"/>
          <w:b w:val="0"/>
          <w:i w:val="0"/>
          <w:strike w:val="0"/>
          <w:noProof w:val="0"/>
          <w:color w:val="000000"/>
          <w:position w:val="0"/>
          <w:sz w:val="20"/>
          <w:u w:val="none"/>
          <w:vertAlign w:val="baseline"/>
        </w:rPr>
        <w:t> MCMILLIAN</w:t>
      </w:r>
    </w:p>
    <w:p>
      <w:pPr>
        <w:keepNext/>
        <w:spacing w:before="240" w:after="0" w:line="340" w:lineRule="atLeast"/>
        <w:ind w:left="0" w:right="0" w:firstLine="0"/>
        <w:jc w:val="left"/>
      </w:pPr>
      <w:bookmarkStart w:id="8" w:name="Opinion"/>
      <w:bookmarkEnd w:id="8"/>
      <w:r>
        <w:rPr>
          <w:rFonts w:ascii="arial" w:eastAsia="arial" w:hAnsi="arial" w:cs="arial"/>
          <w:b/>
          <w:i w:val="0"/>
          <w:strike w:val="0"/>
          <w:noProof w:val="0"/>
          <w:color w:val="000000"/>
          <w:position w:val="0"/>
          <w:sz w:val="28"/>
          <w:u w:val="none"/>
          <w:vertAlign w:val="baseline"/>
        </w:rPr>
        <w:t>Opinion</w:t>
      </w:r>
    </w:p>
    <w:p>
      <w:pPr>
        <w:spacing w:line="60" w:lineRule="exact"/>
      </w:pPr>
      <w:r>
        <w:pict>
          <v:line id="_x0000_s1025" style="position:absolute;z-index:251658240" from="0,2pt" to="512pt,2pt" strokecolor="#009ddb" strokeweight="2pt">
            <v:stroke linestyle="single"/>
            <w10:wrap type="topAndBottom"/>
          </v:line>
        </w:pict>
      </w:r>
    </w:p>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[*146] </w:t>
      </w:r>
      <w:r>
        <w:rPr>
          <w:rFonts w:ascii="arial" w:eastAsia="arial" w:hAnsi="arial" w:cs="arial"/>
          <w:b w:val="0"/>
          <w:i w:val="0"/>
          <w:strike w:val="0"/>
          <w:noProof w:val="0"/>
          <w:color w:val="000000"/>
          <w:position w:val="0"/>
          <w:sz w:val="20"/>
          <w:u w:val="none"/>
          <w:vertAlign w:val="baseline"/>
        </w:rPr>
        <w:t> [**820] </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val="0"/>
          <w:i w:val="0"/>
          <w:smallCaps/>
          <w:strike w:val="0"/>
          <w:noProof w:val="0"/>
          <w:color w:val="000000"/>
          <w:position w:val="0"/>
          <w:sz w:val="20"/>
          <w:u w:val="none"/>
          <w:vertAlign w:val="baseline"/>
        </w:rPr>
        <w:t>McMillian</w:t>
      </w:r>
      <w:r>
        <w:rPr>
          <w:rFonts w:ascii="arial" w:eastAsia="arial" w:hAnsi="arial" w:cs="arial"/>
          <w:b w:val="0"/>
          <w:i w:val="0"/>
          <w:strike w:val="0"/>
          <w:noProof w:val="0"/>
          <w:color w:val="000000"/>
          <w:position w:val="0"/>
          <w:sz w:val="20"/>
          <w:u w:val="none"/>
          <w:vertAlign w:val="baseline"/>
        </w:rPr>
        <w:t>, Justice.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In March 2016, a jury found James Lorenzo </w:t>
      </w:r>
      <w:r>
        <w:rPr>
          <w:rFonts w:ascii="arial" w:eastAsia="arial" w:hAnsi="arial" w:cs="arial"/>
          <w:b w:val="0"/>
          <w:i w:val="0"/>
          <w:strike w:val="0"/>
          <w:noProof w:val="0"/>
          <w:color w:val="000000"/>
          <w:position w:val="0"/>
          <w:sz w:val="20"/>
          <w:u w:val="none"/>
          <w:vertAlign w:val="baseline"/>
        </w:rPr>
        <w:t>Randolph</w:t>
      </w:r>
      <w:r>
        <w:rPr>
          <w:rFonts w:ascii="arial" w:eastAsia="arial" w:hAnsi="arial" w:cs="arial"/>
          <w:b w:val="0"/>
          <w:i w:val="0"/>
          <w:strike w:val="0"/>
          <w:noProof w:val="0"/>
          <w:color w:val="000000"/>
          <w:position w:val="0"/>
          <w:sz w:val="20"/>
          <w:u w:val="none"/>
          <w:vertAlign w:val="baseline"/>
        </w:rPr>
        <w:t xml:space="preserve"> guilty of malice murder, armed robbery, and other crimes in connection with the armed robbery of Carlos Torres and Dennis Dixon and the</w:t>
      </w:r>
      <w:r>
        <w:rPr>
          <w:rFonts w:ascii="arial" w:eastAsia="arial" w:hAnsi="arial" w:cs="arial"/>
          <w:b w:val="0"/>
          <w:i w:val="0"/>
          <w:strike w:val="0"/>
          <w:noProof w:val="0"/>
          <w:color w:val="000000"/>
          <w:position w:val="0"/>
          <w:sz w:val="20"/>
          <w:u w:val="none"/>
          <w:vertAlign w:val="baseline"/>
        </w:rPr>
        <w:t> [*147] </w:t>
      </w:r>
      <w:r>
        <w:rPr>
          <w:rFonts w:ascii="arial" w:eastAsia="arial" w:hAnsi="arial" w:cs="arial"/>
          <w:b w:val="0"/>
          <w:i w:val="0"/>
          <w:strike w:val="0"/>
          <w:noProof w:val="0"/>
          <w:color w:val="000000"/>
          <w:position w:val="0"/>
          <w:sz w:val="20"/>
          <w:u w:val="none"/>
          <w:vertAlign w:val="baseline"/>
        </w:rPr>
        <w:t xml:space="preserve"> shooting death of Rodney Castlin.</w:t>
      </w:r>
      <w:r>
        <w:rPr>
          <w:rFonts w:ascii="arial" w:eastAsia="arial" w:hAnsi="arial" w:cs="arial"/>
          <w:vertAlign w:val="superscript"/>
        </w:rPr>
        <w:footnoteReference w:customMarkFollows="1" w:id="2"/>
        <w:t xml:space="preserve">1</w:t>
      </w:r>
      <w:r>
        <w:rPr>
          <w:rFonts w:ascii="arial" w:eastAsia="arial" w:hAnsi="arial" w:cs="arial"/>
          <w:b w:val="0"/>
          <w:i w:val="0"/>
          <w:strike w:val="0"/>
          <w:noProof w:val="0"/>
          <w:color w:val="000000"/>
          <w:position w:val="0"/>
          <w:sz w:val="20"/>
          <w:u w:val="none"/>
          <w:vertAlign w:val="baseline"/>
        </w:rPr>
        <w:t xml:space="preserve"> On appeal, </w:t>
      </w:r>
      <w:r>
        <w:rPr>
          <w:rFonts w:ascii="arial" w:eastAsia="arial" w:hAnsi="arial" w:cs="arial"/>
          <w:b w:val="0"/>
          <w:i w:val="0"/>
          <w:strike w:val="0"/>
          <w:noProof w:val="0"/>
          <w:color w:val="000000"/>
          <w:position w:val="0"/>
          <w:sz w:val="20"/>
          <w:u w:val="none"/>
          <w:vertAlign w:val="baseline"/>
        </w:rPr>
        <w:t>Randolph</w:t>
      </w:r>
      <w:r>
        <w:rPr>
          <w:rFonts w:ascii="arial" w:eastAsia="arial" w:hAnsi="arial" w:cs="arial"/>
          <w:b w:val="0"/>
          <w:i w:val="0"/>
          <w:strike w:val="0"/>
          <w:noProof w:val="0"/>
          <w:color w:val="000000"/>
          <w:position w:val="0"/>
          <w:sz w:val="20"/>
          <w:u w:val="none"/>
          <w:vertAlign w:val="baseline"/>
        </w:rPr>
        <w:t xml:space="preserve"> asserts that the evidence was insufficient to support his convictions because the </w:t>
      </w:r>
      <w:r>
        <w:rPr>
          <w:rFonts w:ascii="arial" w:eastAsia="arial" w:hAnsi="arial" w:cs="arial"/>
          <w:b w:val="0"/>
          <w:i w:val="0"/>
          <w:strike w:val="0"/>
          <w:noProof w:val="0"/>
          <w:color w:val="000000"/>
          <w:position w:val="0"/>
          <w:sz w:val="20"/>
          <w:u w:val="none"/>
          <w:vertAlign w:val="baseline"/>
        </w:rPr>
        <w:t>State</w:t>
      </w:r>
      <w:r>
        <w:rPr>
          <w:rFonts w:ascii="arial" w:eastAsia="arial" w:hAnsi="arial" w:cs="arial"/>
          <w:b w:val="0"/>
          <w:i w:val="0"/>
          <w:strike w:val="0"/>
          <w:noProof w:val="0"/>
          <w:color w:val="000000"/>
          <w:position w:val="0"/>
          <w:sz w:val="20"/>
          <w:u w:val="none"/>
          <w:vertAlign w:val="baseline"/>
        </w:rPr>
        <w:t xml:space="preserve"> failed to corroborate the testimony of an accomplice and that the trial court erred in admitting evidence of two other acts under OCGA § 24-4-404 (b). Because we conclude that the accomplice's testimony was sufficiently corroborated by other evidence admitted at trial, that the trial court did not err in admitting one prior incident of armed robbery, and that any error in admitting the other incident (a home burglary) was harmless, we affirm.</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evidence introduced at trial shows that on December 7, 2000, Torres was working as a front desk clerk at a Wingate Inn in Kennesaw. Around 10:00 p.m., a man jumped over the front counter, pointed a gun at Torres, and said, “Give me the money.” Fearing that he would be shot, Torres held the hotel's cash drawer out, and the man took the money from it. Castlin, who was</w:t>
      </w:r>
      <w:r>
        <w:rPr>
          <w:rFonts w:ascii="arial" w:eastAsia="arial" w:hAnsi="arial" w:cs="arial"/>
          <w:b w:val="0"/>
          <w:i w:val="0"/>
          <w:strike w:val="0"/>
          <w:noProof w:val="0"/>
          <w:color w:val="000000"/>
          <w:position w:val="0"/>
          <w:sz w:val="20"/>
          <w:u w:val="none"/>
          <w:vertAlign w:val="baseline"/>
        </w:rPr>
        <w:t> [***2] </w:t>
      </w:r>
      <w:r>
        <w:rPr>
          <w:rFonts w:ascii="arial" w:eastAsia="arial" w:hAnsi="arial" w:cs="arial"/>
          <w:b w:val="0"/>
          <w:i w:val="0"/>
          <w:strike w:val="0"/>
          <w:noProof w:val="0"/>
          <w:color w:val="000000"/>
          <w:position w:val="0"/>
          <w:sz w:val="20"/>
          <w:u w:val="none"/>
          <w:vertAlign w:val="baseline"/>
        </w:rPr>
        <w:t xml:space="preserve"> working as the night manager and had been in the back office, came around the corner to see what was going on. The man asked Castlin if there was a safe, and Castlin told him there was not. The man, however, continued to point the gun at Castlin and repeatedly asked where the safe was. The man then hit Torres in the head with the butt of the gun, causing him to fall to the ground and lose consciousness. When Torres awoke, he heard </w:t>
      </w:r>
      <w:r>
        <w:rPr>
          <w:rFonts w:ascii="arial" w:eastAsia="arial" w:hAnsi="arial" w:cs="arial"/>
          <w:b w:val="0"/>
          <w:i w:val="0"/>
          <w:strike w:val="0"/>
          <w:noProof w:val="0"/>
          <w:color w:val="000000"/>
          <w:position w:val="0"/>
          <w:sz w:val="20"/>
          <w:u w:val="none"/>
          <w:vertAlign w:val="baseline"/>
        </w:rPr>
        <w:t> [**821] </w:t>
      </w:r>
      <w:r>
        <w:rPr>
          <w:rFonts w:ascii="arial" w:eastAsia="arial" w:hAnsi="arial" w:cs="arial"/>
          <w:b w:val="0"/>
          <w:i w:val="0"/>
          <w:strike w:val="0"/>
          <w:noProof w:val="0"/>
          <w:color w:val="000000"/>
          <w:position w:val="0"/>
          <w:sz w:val="20"/>
          <w:u w:val="none"/>
          <w:vertAlign w:val="baseline"/>
        </w:rPr>
        <w:t xml:space="preserve"> a gunshot and stood up in time to see someone jump over the counter and run out. Castlin was lying on the ground, bleeding from his chest. Torres later described the man as slim, about five feet and eleven inches or six feet tall, and wielding a black revolver. Torres was able to give a description of the shooter to a sketch artist, and the drawing was admitted at trial. Later at trial, a photograph showing what </w:t>
      </w:r>
      <w:r>
        <w:rPr>
          <w:rFonts w:ascii="arial" w:eastAsia="arial" w:hAnsi="arial" w:cs="arial"/>
          <w:b w:val="0"/>
          <w:i w:val="0"/>
          <w:strike w:val="0"/>
          <w:noProof w:val="0"/>
          <w:color w:val="000000"/>
          <w:position w:val="0"/>
          <w:sz w:val="20"/>
          <w:u w:val="none"/>
          <w:vertAlign w:val="baseline"/>
        </w:rPr>
        <w:t>Randolph</w:t>
      </w:r>
      <w:r>
        <w:rPr>
          <w:rFonts w:ascii="arial" w:eastAsia="arial" w:hAnsi="arial" w:cs="arial"/>
          <w:b w:val="0"/>
          <w:i w:val="0"/>
          <w:strike w:val="0"/>
          <w:noProof w:val="0"/>
          <w:color w:val="000000"/>
          <w:position w:val="0"/>
          <w:sz w:val="20"/>
          <w:u w:val="none"/>
          <w:vertAlign w:val="baseline"/>
        </w:rPr>
        <w:t xml:space="preserve"> looked like in 2000 was also admitted.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Dixon was a guest at the hotel that evening and was in the computer room of the lobby when he heard “a bunch of ruckus.”</w:t>
      </w:r>
      <w:r>
        <w:rPr>
          <w:rFonts w:ascii="arial" w:eastAsia="arial" w:hAnsi="arial" w:cs="arial"/>
          <w:b w:val="0"/>
          <w:i w:val="0"/>
          <w:strike w:val="0"/>
          <w:noProof w:val="0"/>
          <w:color w:val="000000"/>
          <w:position w:val="0"/>
          <w:sz w:val="20"/>
          <w:u w:val="none"/>
          <w:vertAlign w:val="baseline"/>
        </w:rPr>
        <w:t> [*148] </w:t>
      </w:r>
      <w:r>
        <w:rPr>
          <w:rFonts w:ascii="arial" w:eastAsia="arial" w:hAnsi="arial" w:cs="arial"/>
          <w:b w:val="0"/>
          <w:i w:val="0"/>
          <w:strike w:val="0"/>
          <w:noProof w:val="0"/>
          <w:color w:val="000000"/>
          <w:position w:val="0"/>
          <w:sz w:val="20"/>
          <w:u w:val="none"/>
          <w:vertAlign w:val="baseline"/>
        </w:rPr>
        <w:t xml:space="preserve"> Dixon looked out to see two men dressed in black and wearing masks come through the front door. One of the men put his hands down on the front desk and jumped over it, while the other</w:t>
      </w:r>
      <w:r>
        <w:rPr>
          <w:rFonts w:ascii="arial" w:eastAsia="arial" w:hAnsi="arial" w:cs="arial"/>
          <w:b w:val="0"/>
          <w:i w:val="0"/>
          <w:strike w:val="0"/>
          <w:noProof w:val="0"/>
          <w:color w:val="000000"/>
          <w:position w:val="0"/>
          <w:sz w:val="20"/>
          <w:u w:val="none"/>
          <w:vertAlign w:val="baseline"/>
        </w:rPr>
        <w:t> [***3] </w:t>
      </w:r>
      <w:r>
        <w:rPr>
          <w:rFonts w:ascii="arial" w:eastAsia="arial" w:hAnsi="arial" w:cs="arial"/>
          <w:b w:val="0"/>
          <w:i w:val="0"/>
          <w:strike w:val="0"/>
          <w:noProof w:val="0"/>
          <w:color w:val="000000"/>
          <w:position w:val="0"/>
          <w:sz w:val="20"/>
          <w:u w:val="none"/>
          <w:vertAlign w:val="baseline"/>
        </w:rPr>
        <w:t xml:space="preserve"> came into the computer room and ordered Dixon to get on the floor and to empty his pockets. Dixon did not see a weapon, but the man had his hand in his pocket like he was pointing something at Dixon. Fearing that he could be shot, Dixon gave his money to the man. During this time, Dixon heard the other man say numerous times, “[O]pen the safe or I‘m going to shoot you.” He then heard a gunshot and closed his eyes. After he heard the men run out of the hotel, Dixon hid for a time and then fled down the hall to the room of his traveling companion and called 911.</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LeeAnn Bennett, a supervising emergency room nurse, was also a guest at the hotel that night. When she heard someone yelling that someone had been shot, she ran out of her room and found Castlin lying on the floor behind the front desk with an apparent chest wound. His eyes were open, but he was not breathing regularly. She administered aid until EMTs arrived. Castlin was pronounced dead on arrival at a nearby hospital. A medical examiner concluded that Castlin's cause of death was a gunshot wound to the chest.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crime scene investigator with the Cobb County Police Department collected a .22-caliber bullet from the scene and lifted</w:t>
      </w:r>
      <w:r>
        <w:rPr>
          <w:rFonts w:ascii="arial" w:eastAsia="arial" w:hAnsi="arial" w:cs="arial"/>
          <w:b w:val="0"/>
          <w:i w:val="0"/>
          <w:strike w:val="0"/>
          <w:noProof w:val="0"/>
          <w:color w:val="000000"/>
          <w:position w:val="0"/>
          <w:sz w:val="20"/>
          <w:u w:val="none"/>
          <w:vertAlign w:val="baseline"/>
        </w:rPr>
        <w:t> [***4] </w:t>
      </w:r>
      <w:r>
        <w:rPr>
          <w:rFonts w:ascii="arial" w:eastAsia="arial" w:hAnsi="arial" w:cs="arial"/>
          <w:b w:val="0"/>
          <w:i w:val="0"/>
          <w:strike w:val="0"/>
          <w:noProof w:val="0"/>
          <w:color w:val="000000"/>
          <w:position w:val="0"/>
          <w:sz w:val="20"/>
          <w:u w:val="none"/>
          <w:vertAlign w:val="baseline"/>
        </w:rPr>
        <w:t xml:space="preserve"> fingerprints from the front counter, which were entered into a database that only included fingerprints from Georgia, and no fingerprint match was identified. The Cobb County Police Department continued to periodically run searches of the fingerprints over the years, and eventually, in July 2012, a search of the federal fingerprint database maintained by the FBI yielded a list of possible matches that included </w:t>
      </w:r>
      <w:r>
        <w:rPr>
          <w:rFonts w:ascii="arial" w:eastAsia="arial" w:hAnsi="arial" w:cs="arial"/>
          <w:b w:val="0"/>
          <w:i w:val="0"/>
          <w:strike w:val="0"/>
          <w:noProof w:val="0"/>
          <w:color w:val="000000"/>
          <w:position w:val="0"/>
          <w:sz w:val="20"/>
          <w:u w:val="none"/>
          <w:vertAlign w:val="baseline"/>
        </w:rPr>
        <w:t>Randolph</w:t>
      </w:r>
      <w:r>
        <w:rPr>
          <w:rFonts w:ascii="arial" w:eastAsia="arial" w:hAnsi="arial" w:cs="arial"/>
          <w:b w:val="0"/>
          <w:i w:val="0"/>
          <w:strike w:val="0"/>
          <w:noProof w:val="0"/>
          <w:color w:val="000000"/>
          <w:position w:val="0"/>
          <w:sz w:val="20"/>
          <w:u w:val="none"/>
          <w:vertAlign w:val="baseline"/>
        </w:rPr>
        <w:t xml:space="preserve">'s name. Following a manual comparison, a Cobb County Police Department fingerprint analyst determined that </w:t>
      </w:r>
      <w:r>
        <w:rPr>
          <w:rFonts w:ascii="arial" w:eastAsia="arial" w:hAnsi="arial" w:cs="arial"/>
          <w:b w:val="0"/>
          <w:i w:val="0"/>
          <w:strike w:val="0"/>
          <w:noProof w:val="0"/>
          <w:color w:val="000000"/>
          <w:position w:val="0"/>
          <w:sz w:val="20"/>
          <w:u w:val="none"/>
          <w:vertAlign w:val="baseline"/>
        </w:rPr>
        <w:t>Randolph</w:t>
      </w:r>
      <w:r>
        <w:rPr>
          <w:rFonts w:ascii="arial" w:eastAsia="arial" w:hAnsi="arial" w:cs="arial"/>
          <w:b w:val="0"/>
          <w:i w:val="0"/>
          <w:strike w:val="0"/>
          <w:noProof w:val="0"/>
          <w:color w:val="000000"/>
          <w:position w:val="0"/>
          <w:sz w:val="20"/>
          <w:u w:val="none"/>
          <w:vertAlign w:val="baseline"/>
        </w:rPr>
        <w:t>'s fingerprints matched the set of prints lifted from the hotel in 2000. The match was later confirmed by a retired GBI fingerprint expert.</w:t>
      </w:r>
      <w:r>
        <w:rPr>
          <w:rFonts w:ascii="arial" w:eastAsia="arial" w:hAnsi="arial" w:cs="arial"/>
          <w:vertAlign w:val="superscript"/>
        </w:rPr>
        <w:footnoteReference w:customMarkFollows="1" w:id="3"/>
        <w:t xml:space="preserve">2</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Cobb County Investigator John Dawes testified that in June 2012, he spoke with a detective in Jacksonville, Florida, concerning information that the detective had obtained that he believed might be relevant to an old Cobb County case. The detective explained that counsel for Ruel Brown, who was facing unrelated charges in Florida, had represented to him that Brown had information about a shooting</w:t>
      </w:r>
      <w:r>
        <w:rPr>
          <w:rFonts w:ascii="arial" w:eastAsia="arial" w:hAnsi="arial" w:cs="arial"/>
          <w:b w:val="0"/>
          <w:i w:val="0"/>
          <w:strike w:val="0"/>
          <w:noProof w:val="0"/>
          <w:color w:val="000000"/>
          <w:position w:val="0"/>
          <w:sz w:val="20"/>
          <w:u w:val="none"/>
          <w:vertAlign w:val="baseline"/>
        </w:rPr>
        <w:t> [*149] </w:t>
      </w:r>
      <w:r>
        <w:rPr>
          <w:rFonts w:ascii="arial" w:eastAsia="arial" w:hAnsi="arial" w:cs="arial"/>
          <w:b w:val="0"/>
          <w:i w:val="0"/>
          <w:strike w:val="0"/>
          <w:noProof w:val="0"/>
          <w:color w:val="000000"/>
          <w:position w:val="0"/>
          <w:sz w:val="20"/>
          <w:u w:val="none"/>
          <w:vertAlign w:val="baseline"/>
        </w:rPr>
        <w:t xml:space="preserve"> that occurred in November or December 2000 at a hotel north of Atlanta with the word “Win” in the name. Dawes determined that</w:t>
      </w:r>
      <w:r>
        <w:rPr>
          <w:rFonts w:ascii="arial" w:eastAsia="arial" w:hAnsi="arial" w:cs="arial"/>
          <w:b w:val="0"/>
          <w:i w:val="0"/>
          <w:strike w:val="0"/>
          <w:noProof w:val="0"/>
          <w:color w:val="000000"/>
          <w:position w:val="0"/>
          <w:sz w:val="20"/>
          <w:u w:val="none"/>
          <w:vertAlign w:val="baseline"/>
        </w:rPr>
        <w:t> [***5] </w:t>
      </w:r>
      <w:r>
        <w:rPr>
          <w:rFonts w:ascii="arial" w:eastAsia="arial" w:hAnsi="arial" w:cs="arial"/>
          <w:b w:val="0"/>
          <w:i w:val="0"/>
          <w:strike w:val="0"/>
          <w:noProof w:val="0"/>
          <w:color w:val="000000"/>
          <w:position w:val="0"/>
          <w:sz w:val="20"/>
          <w:u w:val="none"/>
          <w:vertAlign w:val="baseline"/>
        </w:rPr>
        <w:t xml:space="preserve"> Brown was likely referring to the unsolved shooting at the Wingate Inn in Kennesaw. Dawes eventually obtained a statement from Brown in September 2014, in which Brown identified </w:t>
      </w:r>
      <w:r>
        <w:rPr>
          <w:rFonts w:ascii="arial" w:eastAsia="arial" w:hAnsi="arial" w:cs="arial"/>
          <w:b w:val="0"/>
          <w:i w:val="0"/>
          <w:strike w:val="0"/>
          <w:noProof w:val="0"/>
          <w:color w:val="000000"/>
          <w:position w:val="0"/>
          <w:sz w:val="20"/>
          <w:u w:val="none"/>
          <w:vertAlign w:val="baseline"/>
        </w:rPr>
        <w:t>Randolph</w:t>
      </w:r>
      <w:r>
        <w:rPr>
          <w:rFonts w:ascii="arial" w:eastAsia="arial" w:hAnsi="arial" w:cs="arial"/>
          <w:b w:val="0"/>
          <w:i w:val="0"/>
          <w:strike w:val="0"/>
          <w:noProof w:val="0"/>
          <w:color w:val="000000"/>
          <w:position w:val="0"/>
          <w:sz w:val="20"/>
          <w:u w:val="none"/>
          <w:vertAlign w:val="baseline"/>
        </w:rPr>
        <w:t xml:space="preserve"> as the shooter. Following his arrest in South Carolina for the murder of Castlin, </w:t>
      </w:r>
      <w:r>
        <w:rPr>
          <w:rFonts w:ascii="arial" w:eastAsia="arial" w:hAnsi="arial" w:cs="arial"/>
          <w:b w:val="0"/>
          <w:i w:val="0"/>
          <w:strike w:val="0"/>
          <w:noProof w:val="0"/>
          <w:color w:val="000000"/>
          <w:position w:val="0"/>
          <w:sz w:val="20"/>
          <w:u w:val="none"/>
          <w:vertAlign w:val="baseline"/>
        </w:rPr>
        <w:t>Randolph</w:t>
      </w:r>
      <w:r>
        <w:rPr>
          <w:rFonts w:ascii="arial" w:eastAsia="arial" w:hAnsi="arial" w:cs="arial"/>
          <w:b w:val="0"/>
          <w:i w:val="0"/>
          <w:strike w:val="0"/>
          <w:noProof w:val="0"/>
          <w:color w:val="000000"/>
          <w:position w:val="0"/>
          <w:sz w:val="20"/>
          <w:u w:val="none"/>
          <w:vertAlign w:val="baseline"/>
        </w:rPr>
        <w:t xml:space="preserve"> called the mother of his child while detained in jail there and told her that “they got” him “for something fourteen years ago” and that his “life [was] changed now.” A recording of this phone call was played for the jury.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Following a grant of immunity, Brown testified on behalf of the </w:t>
      </w:r>
      <w:r>
        <w:rPr>
          <w:rFonts w:ascii="arial" w:eastAsia="arial" w:hAnsi="arial" w:cs="arial"/>
          <w:b w:val="0"/>
          <w:i w:val="0"/>
          <w:strike w:val="0"/>
          <w:noProof w:val="0"/>
          <w:color w:val="000000"/>
          <w:position w:val="0"/>
          <w:sz w:val="20"/>
          <w:u w:val="none"/>
          <w:vertAlign w:val="baseline"/>
        </w:rPr>
        <w:t>State</w:t>
      </w:r>
      <w:r>
        <w:rPr>
          <w:rFonts w:ascii="arial" w:eastAsia="arial" w:hAnsi="arial" w:cs="arial"/>
          <w:b w:val="0"/>
          <w:i w:val="0"/>
          <w:strike w:val="0"/>
          <w:noProof w:val="0"/>
          <w:color w:val="000000"/>
          <w:position w:val="0"/>
          <w:sz w:val="20"/>
          <w:u w:val="none"/>
          <w:vertAlign w:val="baseline"/>
        </w:rPr>
        <w:t xml:space="preserve"> at trial.</w:t>
      </w:r>
      <w:r>
        <w:rPr>
          <w:rFonts w:ascii="arial" w:eastAsia="arial" w:hAnsi="arial" w:cs="arial"/>
          <w:vertAlign w:val="superscript"/>
        </w:rPr>
        <w:footnoteReference w:customMarkFollows="1" w:id="4"/>
        <w:t xml:space="preserve">3</w:t>
      </w:r>
      <w:r>
        <w:rPr>
          <w:rFonts w:ascii="arial" w:eastAsia="arial" w:hAnsi="arial" w:cs="arial"/>
          <w:b w:val="0"/>
          <w:i w:val="0"/>
          <w:strike w:val="0"/>
          <w:noProof w:val="0"/>
          <w:color w:val="000000"/>
          <w:position w:val="0"/>
          <w:sz w:val="20"/>
          <w:u w:val="none"/>
          <w:vertAlign w:val="baseline"/>
        </w:rPr>
        <w:t xml:space="preserve"> Brown explained that he had known </w:t>
      </w:r>
      <w:r>
        <w:rPr>
          <w:rFonts w:ascii="arial" w:eastAsia="arial" w:hAnsi="arial" w:cs="arial"/>
          <w:b w:val="0"/>
          <w:i w:val="0"/>
          <w:strike w:val="0"/>
          <w:noProof w:val="0"/>
          <w:color w:val="000000"/>
          <w:position w:val="0"/>
          <w:sz w:val="20"/>
          <w:u w:val="none"/>
          <w:vertAlign w:val="baseline"/>
        </w:rPr>
        <w:t>Randolph</w:t>
      </w:r>
      <w:r>
        <w:rPr>
          <w:rFonts w:ascii="arial" w:eastAsia="arial" w:hAnsi="arial" w:cs="arial"/>
          <w:b w:val="0"/>
          <w:i w:val="0"/>
          <w:strike w:val="0"/>
          <w:noProof w:val="0"/>
          <w:color w:val="000000"/>
          <w:position w:val="0"/>
          <w:sz w:val="20"/>
          <w:u w:val="none"/>
          <w:vertAlign w:val="baseline"/>
        </w:rPr>
        <w:t xml:space="preserve"> since </w:t>
      </w:r>
      <w:r>
        <w:rPr>
          <w:rFonts w:ascii="arial" w:eastAsia="arial" w:hAnsi="arial" w:cs="arial"/>
          <w:b w:val="0"/>
          <w:i w:val="0"/>
          <w:strike w:val="0"/>
          <w:noProof w:val="0"/>
          <w:color w:val="000000"/>
          <w:position w:val="0"/>
          <w:sz w:val="20"/>
          <w:u w:val="none"/>
          <w:vertAlign w:val="baseline"/>
        </w:rPr>
        <w:t> [**822] </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val="0"/>
          <w:i w:val="0"/>
          <w:strike w:val="0"/>
          <w:noProof w:val="0"/>
          <w:color w:val="000000"/>
          <w:position w:val="0"/>
          <w:sz w:val="20"/>
          <w:u w:val="none"/>
          <w:vertAlign w:val="baseline"/>
        </w:rPr>
        <w:t>Randolph</w:t>
      </w:r>
      <w:r>
        <w:rPr>
          <w:rFonts w:ascii="arial" w:eastAsia="arial" w:hAnsi="arial" w:cs="arial"/>
          <w:b w:val="0"/>
          <w:i w:val="0"/>
          <w:strike w:val="0"/>
          <w:noProof w:val="0"/>
          <w:color w:val="000000"/>
          <w:position w:val="0"/>
          <w:sz w:val="20"/>
          <w:u w:val="none"/>
          <w:vertAlign w:val="baseline"/>
        </w:rPr>
        <w:t xml:space="preserve"> was 13 or 14 years old. In 2000, Brown lived in Columbia, South Carolina, but traveled back and forth to Atlanta as part of a sex trafficking ring he was involved in. In December 2000, </w:t>
      </w:r>
      <w:r>
        <w:rPr>
          <w:rFonts w:ascii="arial" w:eastAsia="arial" w:hAnsi="arial" w:cs="arial"/>
          <w:b w:val="0"/>
          <w:i w:val="0"/>
          <w:strike w:val="0"/>
          <w:noProof w:val="0"/>
          <w:color w:val="000000"/>
          <w:position w:val="0"/>
          <w:sz w:val="20"/>
          <w:u w:val="none"/>
          <w:vertAlign w:val="baseline"/>
        </w:rPr>
        <w:t>Randolph</w:t>
      </w:r>
      <w:r>
        <w:rPr>
          <w:rFonts w:ascii="arial" w:eastAsia="arial" w:hAnsi="arial" w:cs="arial"/>
          <w:b w:val="0"/>
          <w:i w:val="0"/>
          <w:strike w:val="0"/>
          <w:noProof w:val="0"/>
          <w:color w:val="000000"/>
          <w:position w:val="0"/>
          <w:sz w:val="20"/>
          <w:u w:val="none"/>
          <w:vertAlign w:val="baseline"/>
        </w:rPr>
        <w:t>, who was about six feet tall with a slender build at the time,</w:t>
      </w:r>
      <w:r>
        <w:rPr>
          <w:rFonts w:ascii="arial" w:eastAsia="arial" w:hAnsi="arial" w:cs="arial"/>
          <w:vertAlign w:val="superscript"/>
        </w:rPr>
        <w:footnoteReference w:customMarkFollows="1" w:id="5"/>
        <w:t xml:space="preserve">4</w:t>
      </w:r>
      <w:r>
        <w:rPr>
          <w:rFonts w:ascii="arial" w:eastAsia="arial" w:hAnsi="arial" w:cs="arial"/>
          <w:b w:val="0"/>
          <w:i w:val="0"/>
          <w:strike w:val="0"/>
          <w:noProof w:val="0"/>
          <w:color w:val="000000"/>
          <w:position w:val="0"/>
          <w:sz w:val="20"/>
          <w:u w:val="none"/>
          <w:vertAlign w:val="baseline"/>
        </w:rPr>
        <w:t xml:space="preserve"> and another man, whom Brown refused to identify, wanted to come with Brown to Atlanta, and Brown agreed. Around 10:00 p.m. on December 7, 2000, the three men went to Cobb County for the purpose of robbing the Wingate Inn. </w:t>
      </w:r>
      <w:r>
        <w:rPr>
          <w:rFonts w:ascii="arial" w:eastAsia="arial" w:hAnsi="arial" w:cs="arial"/>
          <w:b w:val="0"/>
          <w:i w:val="0"/>
          <w:strike w:val="0"/>
          <w:noProof w:val="0"/>
          <w:color w:val="000000"/>
          <w:position w:val="0"/>
          <w:sz w:val="20"/>
          <w:u w:val="none"/>
          <w:vertAlign w:val="baseline"/>
        </w:rPr>
        <w:t>Randolph</w:t>
      </w:r>
      <w:r>
        <w:rPr>
          <w:rFonts w:ascii="arial" w:eastAsia="arial" w:hAnsi="arial" w:cs="arial"/>
          <w:b w:val="0"/>
          <w:i w:val="0"/>
          <w:strike w:val="0"/>
          <w:noProof w:val="0"/>
          <w:color w:val="000000"/>
          <w:position w:val="0"/>
          <w:sz w:val="20"/>
          <w:u w:val="none"/>
          <w:vertAlign w:val="baseline"/>
        </w:rPr>
        <w:t>, carrying Brown's small-caliber handgun, and the third man went inside while</w:t>
      </w:r>
      <w:r>
        <w:rPr>
          <w:rFonts w:ascii="arial" w:eastAsia="arial" w:hAnsi="arial" w:cs="arial"/>
          <w:b w:val="0"/>
          <w:i w:val="0"/>
          <w:strike w:val="0"/>
          <w:noProof w:val="0"/>
          <w:color w:val="000000"/>
          <w:position w:val="0"/>
          <w:sz w:val="20"/>
          <w:u w:val="none"/>
          <w:vertAlign w:val="baseline"/>
        </w:rPr>
        <w:t> [***6] </w:t>
      </w:r>
      <w:r>
        <w:rPr>
          <w:rFonts w:ascii="arial" w:eastAsia="arial" w:hAnsi="arial" w:cs="arial"/>
          <w:b w:val="0"/>
          <w:i w:val="0"/>
          <w:strike w:val="0"/>
          <w:noProof w:val="0"/>
          <w:color w:val="000000"/>
          <w:position w:val="0"/>
          <w:sz w:val="20"/>
          <w:u w:val="none"/>
          <w:vertAlign w:val="baseline"/>
        </w:rPr>
        <w:t xml:space="preserve"> Brown waited outside in the car, parked in a position where he could see into the lobby. Brown saw </w:t>
      </w:r>
      <w:r>
        <w:rPr>
          <w:rFonts w:ascii="arial" w:eastAsia="arial" w:hAnsi="arial" w:cs="arial"/>
          <w:b w:val="0"/>
          <w:i w:val="0"/>
          <w:strike w:val="0"/>
          <w:noProof w:val="0"/>
          <w:color w:val="000000"/>
          <w:position w:val="0"/>
          <w:sz w:val="20"/>
          <w:u w:val="none"/>
          <w:vertAlign w:val="baseline"/>
        </w:rPr>
        <w:t>Randolph</w:t>
      </w:r>
      <w:r>
        <w:rPr>
          <w:rFonts w:ascii="arial" w:eastAsia="arial" w:hAnsi="arial" w:cs="arial"/>
          <w:b w:val="0"/>
          <w:i w:val="0"/>
          <w:strike w:val="0"/>
          <w:noProof w:val="0"/>
          <w:color w:val="000000"/>
          <w:position w:val="0"/>
          <w:sz w:val="20"/>
          <w:u w:val="none"/>
          <w:vertAlign w:val="baseline"/>
        </w:rPr>
        <w:t xml:space="preserve"> behind the counter with the gun pointed at a man who had his hands up. Brown saw the flash of the gun being fired and the man fall backward. </w:t>
      </w:r>
      <w:r>
        <w:rPr>
          <w:rFonts w:ascii="arial" w:eastAsia="arial" w:hAnsi="arial" w:cs="arial"/>
          <w:b w:val="0"/>
          <w:i w:val="0"/>
          <w:strike w:val="0"/>
          <w:noProof w:val="0"/>
          <w:color w:val="000000"/>
          <w:position w:val="0"/>
          <w:sz w:val="20"/>
          <w:u w:val="none"/>
          <w:vertAlign w:val="baseline"/>
        </w:rPr>
        <w:t>Randolph</w:t>
      </w:r>
      <w:r>
        <w:rPr>
          <w:rFonts w:ascii="arial" w:eastAsia="arial" w:hAnsi="arial" w:cs="arial"/>
          <w:b w:val="0"/>
          <w:i w:val="0"/>
          <w:strike w:val="0"/>
          <w:noProof w:val="0"/>
          <w:color w:val="000000"/>
          <w:position w:val="0"/>
          <w:sz w:val="20"/>
          <w:u w:val="none"/>
          <w:vertAlign w:val="baseline"/>
        </w:rPr>
        <w:t xml:space="preserve"> and the third man, who had been out of view, ran out of the hotel and into Brown's car, and Brown immediately drove off toward the interstate.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Brown testified that he was really upset and “was kind of giving it to” </w:t>
      </w:r>
      <w:r>
        <w:rPr>
          <w:rFonts w:ascii="arial" w:eastAsia="arial" w:hAnsi="arial" w:cs="arial"/>
          <w:b w:val="0"/>
          <w:i w:val="0"/>
          <w:strike w:val="0"/>
          <w:noProof w:val="0"/>
          <w:color w:val="000000"/>
          <w:position w:val="0"/>
          <w:sz w:val="20"/>
          <w:u w:val="none"/>
          <w:vertAlign w:val="baseline"/>
        </w:rPr>
        <w:t>Randolph</w:t>
      </w:r>
      <w:r>
        <w:rPr>
          <w:rFonts w:ascii="arial" w:eastAsia="arial" w:hAnsi="arial" w:cs="arial"/>
          <w:b w:val="0"/>
          <w:i w:val="0"/>
          <w:strike w:val="0"/>
          <w:noProof w:val="0"/>
          <w:color w:val="000000"/>
          <w:position w:val="0"/>
          <w:sz w:val="20"/>
          <w:u w:val="none"/>
          <w:vertAlign w:val="baseline"/>
        </w:rPr>
        <w:t xml:space="preserve"> because the shooting was not part of the plan. </w:t>
      </w:r>
      <w:r>
        <w:rPr>
          <w:rFonts w:ascii="arial" w:eastAsia="arial" w:hAnsi="arial" w:cs="arial"/>
          <w:b w:val="0"/>
          <w:i w:val="0"/>
          <w:strike w:val="0"/>
          <w:noProof w:val="0"/>
          <w:color w:val="000000"/>
          <w:position w:val="0"/>
          <w:sz w:val="20"/>
          <w:u w:val="none"/>
          <w:vertAlign w:val="baseline"/>
        </w:rPr>
        <w:t>Randolph</w:t>
      </w:r>
      <w:r>
        <w:rPr>
          <w:rFonts w:ascii="arial" w:eastAsia="arial" w:hAnsi="arial" w:cs="arial"/>
          <w:b w:val="0"/>
          <w:i w:val="0"/>
          <w:strike w:val="0"/>
          <w:noProof w:val="0"/>
          <w:color w:val="000000"/>
          <w:position w:val="0"/>
          <w:sz w:val="20"/>
          <w:u w:val="none"/>
          <w:vertAlign w:val="baseline"/>
        </w:rPr>
        <w:t xml:space="preserve"> claimed that he had to shoot because the victim had been coming toward him. The three of them divided up the money that they had stolen from the cash register and from Dixon. Brown initially wanted to drive straight to South Carolina, but decided that they should stay somewhere nearby so they could find out if the victim had died. Brown dropped the gun in a storm drain, and then the three men slept in the car while they waited for the morning newspaper to be delivered. The following morning, after reading that the victim had died, they returned to Columbia, South Carolina.</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[*150] </w:t>
      </w:r>
      <w:r>
        <w:rPr>
          <w:rFonts w:ascii="arial" w:eastAsia="arial" w:hAnsi="arial" w:cs="arial"/>
          <w:b w:val="0"/>
          <w:i w:val="0"/>
          <w:strike w:val="0"/>
          <w:noProof w:val="0"/>
          <w:color w:val="000000"/>
          <w:position w:val="0"/>
          <w:sz w:val="20"/>
          <w:u w:val="none"/>
          <w:vertAlign w:val="baseline"/>
        </w:rPr>
        <w:t xml:space="preserve"> The </w:t>
      </w:r>
      <w:r>
        <w:rPr>
          <w:rFonts w:ascii="arial" w:eastAsia="arial" w:hAnsi="arial" w:cs="arial"/>
          <w:b w:val="0"/>
          <w:i w:val="0"/>
          <w:strike w:val="0"/>
          <w:noProof w:val="0"/>
          <w:color w:val="000000"/>
          <w:position w:val="0"/>
          <w:sz w:val="20"/>
          <w:u w:val="none"/>
          <w:vertAlign w:val="baseline"/>
        </w:rPr>
        <w:t>State</w:t>
      </w:r>
      <w:r>
        <w:rPr>
          <w:rFonts w:ascii="arial" w:eastAsia="arial" w:hAnsi="arial" w:cs="arial"/>
          <w:b w:val="0"/>
          <w:i w:val="0"/>
          <w:strike w:val="0"/>
          <w:noProof w:val="0"/>
          <w:color w:val="000000"/>
          <w:position w:val="0"/>
          <w:sz w:val="20"/>
          <w:u w:val="none"/>
          <w:vertAlign w:val="baseline"/>
        </w:rPr>
        <w:t xml:space="preserve"> also presented evidence of two prior offenses committed by </w:t>
      </w:r>
      <w:r>
        <w:rPr>
          <w:rFonts w:ascii="arial" w:eastAsia="arial" w:hAnsi="arial" w:cs="arial"/>
          <w:b w:val="0"/>
          <w:i w:val="0"/>
          <w:strike w:val="0"/>
          <w:noProof w:val="0"/>
          <w:color w:val="000000"/>
          <w:position w:val="0"/>
          <w:sz w:val="20"/>
          <w:u w:val="none"/>
          <w:vertAlign w:val="baseline"/>
        </w:rPr>
        <w:t>Randolph</w:t>
      </w:r>
      <w:r>
        <w:rPr>
          <w:rFonts w:ascii="arial" w:eastAsia="arial" w:hAnsi="arial" w:cs="arial"/>
          <w:b w:val="0"/>
          <w:i w:val="0"/>
          <w:strike w:val="0"/>
          <w:noProof w:val="0"/>
          <w:color w:val="000000"/>
          <w:position w:val="0"/>
          <w:sz w:val="20"/>
          <w:u w:val="none"/>
          <w:vertAlign w:val="baseline"/>
        </w:rPr>
        <w:t>. Jagdish</w:t>
      </w:r>
      <w:r>
        <w:rPr>
          <w:rFonts w:ascii="arial" w:eastAsia="arial" w:hAnsi="arial" w:cs="arial"/>
          <w:b w:val="0"/>
          <w:i w:val="0"/>
          <w:strike w:val="0"/>
          <w:noProof w:val="0"/>
          <w:color w:val="000000"/>
          <w:position w:val="0"/>
          <w:sz w:val="20"/>
          <w:u w:val="none"/>
          <w:vertAlign w:val="baseline"/>
        </w:rPr>
        <w:t> [***7] </w:t>
      </w:r>
      <w:r>
        <w:rPr>
          <w:rFonts w:ascii="arial" w:eastAsia="arial" w:hAnsi="arial" w:cs="arial"/>
          <w:b w:val="0"/>
          <w:i w:val="0"/>
          <w:strike w:val="0"/>
          <w:noProof w:val="0"/>
          <w:color w:val="000000"/>
          <w:position w:val="0"/>
          <w:sz w:val="20"/>
          <w:u w:val="none"/>
          <w:vertAlign w:val="baseline"/>
        </w:rPr>
        <w:t xml:space="preserve"> Patel testified that on December 4, 2000, three days before the shooting at the Wingate Inn, he was working at a Blimpie restaurant in Columbia, South Carolina when a man came in around 9:00 or 10:00 p.m. with a gun and said, “Give me the money. Otherwise I'll shoot you.” The man then climbed over the counter and told Patel to lie down on the floor and asked where the safe was. When Patel told him there was no safe, the man demanded his wallet. The man then took the money from Patel's wallet and the money in the cash register and ran out the back door. Patel described the man as young, thin, and less than six feet tall. A fingerprint located on the cash register was found to match </w:t>
      </w:r>
      <w:r>
        <w:rPr>
          <w:rFonts w:ascii="arial" w:eastAsia="arial" w:hAnsi="arial" w:cs="arial"/>
          <w:b w:val="0"/>
          <w:i w:val="0"/>
          <w:strike w:val="0"/>
          <w:noProof w:val="0"/>
          <w:color w:val="000000"/>
          <w:position w:val="0"/>
          <w:sz w:val="20"/>
          <w:u w:val="none"/>
          <w:vertAlign w:val="baseline"/>
        </w:rPr>
        <w:t>Randolph</w:t>
      </w:r>
      <w:r>
        <w:rPr>
          <w:rFonts w:ascii="arial" w:eastAsia="arial" w:hAnsi="arial" w:cs="arial"/>
          <w:b w:val="0"/>
          <w:i w:val="0"/>
          <w:strike w:val="0"/>
          <w:noProof w:val="0"/>
          <w:color w:val="000000"/>
          <w:position w:val="0"/>
          <w:sz w:val="20"/>
          <w:u w:val="none"/>
          <w:vertAlign w:val="baseline"/>
        </w:rPr>
        <w:t xml:space="preserve">'s, and </w:t>
      </w:r>
      <w:r>
        <w:rPr>
          <w:rFonts w:ascii="arial" w:eastAsia="arial" w:hAnsi="arial" w:cs="arial"/>
          <w:b w:val="0"/>
          <w:i w:val="0"/>
          <w:strike w:val="0"/>
          <w:noProof w:val="0"/>
          <w:color w:val="000000"/>
          <w:position w:val="0"/>
          <w:sz w:val="20"/>
          <w:u w:val="none"/>
          <w:vertAlign w:val="baseline"/>
        </w:rPr>
        <w:t>Randolph</w:t>
      </w:r>
      <w:r>
        <w:rPr>
          <w:rFonts w:ascii="arial" w:eastAsia="arial" w:hAnsi="arial" w:cs="arial"/>
          <w:b w:val="0"/>
          <w:i w:val="0"/>
          <w:strike w:val="0"/>
          <w:noProof w:val="0"/>
          <w:color w:val="000000"/>
          <w:position w:val="0"/>
          <w:sz w:val="20"/>
          <w:u w:val="none"/>
          <w:vertAlign w:val="baseline"/>
        </w:rPr>
        <w:t xml:space="preserve"> pleaded guilty to armed robbery in connection with that incident and served a ten-year sentence.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Edward McIntosh testified that on April 29, 2011, someone kicked in the door to his home in Columbia and stole several televisions, his wife's jewelry, and a laptop. Fingerprints recovered from inside the home matched </w:t>
      </w:r>
      <w:r>
        <w:rPr>
          <w:rFonts w:ascii="arial" w:eastAsia="arial" w:hAnsi="arial" w:cs="arial"/>
          <w:b w:val="0"/>
          <w:i w:val="0"/>
          <w:strike w:val="0"/>
          <w:noProof w:val="0"/>
          <w:color w:val="000000"/>
          <w:position w:val="0"/>
          <w:sz w:val="20"/>
          <w:u w:val="none"/>
          <w:vertAlign w:val="baseline"/>
        </w:rPr>
        <w:t>Randolph</w:t>
      </w:r>
      <w:r>
        <w:rPr>
          <w:rFonts w:ascii="arial" w:eastAsia="arial" w:hAnsi="arial" w:cs="arial"/>
          <w:b w:val="0"/>
          <w:i w:val="0"/>
          <w:strike w:val="0"/>
          <w:noProof w:val="0"/>
          <w:color w:val="000000"/>
          <w:position w:val="0"/>
          <w:sz w:val="20"/>
          <w:u w:val="none"/>
          <w:vertAlign w:val="baseline"/>
        </w:rPr>
        <w:t xml:space="preserve">'s, and the Richland County Sheriff's Department took out an arrest warrant for </w:t>
      </w:r>
      <w:r>
        <w:rPr>
          <w:rFonts w:ascii="arial" w:eastAsia="arial" w:hAnsi="arial" w:cs="arial"/>
          <w:b w:val="0"/>
          <w:i w:val="0"/>
          <w:strike w:val="0"/>
          <w:noProof w:val="0"/>
          <w:color w:val="000000"/>
          <w:position w:val="0"/>
          <w:sz w:val="20"/>
          <w:u w:val="none"/>
          <w:vertAlign w:val="baseline"/>
        </w:rPr>
        <w:t>Randolph</w:t>
      </w:r>
      <w:r>
        <w:rPr>
          <w:rFonts w:ascii="arial" w:eastAsia="arial" w:hAnsi="arial" w:cs="arial"/>
          <w:b w:val="0"/>
          <w:i w:val="0"/>
          <w:strike w:val="0"/>
          <w:noProof w:val="0"/>
          <w:color w:val="000000"/>
          <w:position w:val="0"/>
          <w:sz w:val="20"/>
          <w:u w:val="none"/>
          <w:vertAlign w:val="baseline"/>
        </w:rPr>
        <w:t>, which was still outstanding at the time of trial.</w:t>
      </w:r>
    </w:p>
    <w:p>
      <w:pPr>
        <w:keepNext w:val="0"/>
        <w:spacing w:before="200" w:after="0" w:line="260" w:lineRule="atLeast"/>
        <w:ind w:left="0" w:right="0" w:firstLine="0"/>
        <w:jc w:val="both"/>
      </w:pPr>
      <w:bookmarkStart w:id="13" w:name="Bookmark__1"/>
      <w:bookmarkEnd w:id="13"/>
      <w:r>
        <w:rPr>
          <w:rFonts w:ascii="arial" w:eastAsia="arial" w:hAnsi="arial" w:cs="arial"/>
          <w:b w:val="0"/>
          <w:i w:val="0"/>
          <w:strike w:val="0"/>
          <w:noProof w:val="0"/>
          <w:color w:val="000000"/>
          <w:position w:val="0"/>
          <w:sz w:val="20"/>
          <w:u w:val="none"/>
          <w:vertAlign w:val="baseline"/>
        </w:rPr>
        <w:t xml:space="preserve">(1) 1. </w:t>
      </w:r>
      <w:r>
        <w:rPr>
          <w:rFonts w:ascii="arial" w:eastAsia="arial" w:hAnsi="arial" w:cs="arial"/>
          <w:b w:val="0"/>
          <w:i w:val="0"/>
          <w:strike w:val="0"/>
          <w:noProof w:val="0"/>
          <w:color w:val="000000"/>
          <w:position w:val="0"/>
          <w:sz w:val="20"/>
          <w:u w:val="none"/>
          <w:vertAlign w:val="baseline"/>
        </w:rPr>
        <w:t>Randolph</w:t>
      </w:r>
      <w:r>
        <w:rPr>
          <w:rFonts w:ascii="arial" w:eastAsia="arial" w:hAnsi="arial" w:cs="arial"/>
          <w:b w:val="0"/>
          <w:i w:val="0"/>
          <w:strike w:val="0"/>
          <w:noProof w:val="0"/>
          <w:color w:val="000000"/>
          <w:position w:val="0"/>
          <w:sz w:val="20"/>
          <w:u w:val="none"/>
          <w:vertAlign w:val="baseline"/>
        </w:rPr>
        <w:t xml:space="preserve"> contends that</w:t>
      </w:r>
      <w:r>
        <w:rPr>
          <w:rFonts w:ascii="arial" w:eastAsia="arial" w:hAnsi="arial" w:cs="arial"/>
          <w:b w:val="0"/>
          <w:i w:val="0"/>
          <w:strike w:val="0"/>
          <w:noProof w:val="0"/>
          <w:color w:val="000000"/>
          <w:position w:val="0"/>
          <w:sz w:val="20"/>
          <w:u w:val="none"/>
          <w:vertAlign w:val="baseline"/>
        </w:rPr>
        <w:t> [***8] </w:t>
      </w:r>
      <w:r>
        <w:rPr>
          <w:rFonts w:ascii="arial" w:eastAsia="arial" w:hAnsi="arial" w:cs="arial"/>
          <w:b w:val="0"/>
          <w:i w:val="0"/>
          <w:strike w:val="0"/>
          <w:noProof w:val="0"/>
          <w:color w:val="000000"/>
          <w:position w:val="0"/>
          <w:sz w:val="20"/>
          <w:u w:val="none"/>
          <w:vertAlign w:val="baseline"/>
        </w:rPr>
        <w:t xml:space="preserve"> the evidence was insufficient to support his convictions because the </w:t>
      </w:r>
      <w:r>
        <w:rPr>
          <w:rFonts w:ascii="arial" w:eastAsia="arial" w:hAnsi="arial" w:cs="arial"/>
          <w:b w:val="0"/>
          <w:i w:val="0"/>
          <w:strike w:val="0"/>
          <w:noProof w:val="0"/>
          <w:color w:val="000000"/>
          <w:position w:val="0"/>
          <w:sz w:val="20"/>
          <w:u w:val="none"/>
          <w:vertAlign w:val="baseline"/>
        </w:rPr>
        <w:t>State</w:t>
      </w:r>
      <w:r>
        <w:rPr>
          <w:rFonts w:ascii="arial" w:eastAsia="arial" w:hAnsi="arial" w:cs="arial"/>
          <w:b w:val="0"/>
          <w:i w:val="0"/>
          <w:strike w:val="0"/>
          <w:noProof w:val="0"/>
          <w:color w:val="000000"/>
          <w:position w:val="0"/>
          <w:sz w:val="20"/>
          <w:u w:val="none"/>
          <w:vertAlign w:val="baseline"/>
        </w:rPr>
        <w:t>'s evidence was based in whole upon the testimony of Brown, an unindicted co-conspirator, and the testimony was not sufficiently corroborated under OCGA § 24-14-8. We are not persuaded.</w:t>
      </w:r>
    </w:p>
    <w:p>
      <w:pPr>
        <w:keepNext w:val="0"/>
        <w:spacing w:before="200" w:after="0" w:line="260" w:lineRule="atLeast"/>
        <w:ind w:left="0" w:right="0" w:firstLine="0"/>
        <w:jc w:val="both"/>
      </w:pPr>
      <w:bookmarkStart w:id="14" w:name="Bookmark_I695SG232SF86B0020000400"/>
      <w:bookmarkEnd w:id="14"/>
      <w:bookmarkStart w:id="15" w:name="Bookmark_LNHNREFclscc1"/>
      <w:bookmarkEnd w:id="15"/>
      <w:r>
        <w:rPr>
          <w:rFonts w:ascii="arial" w:eastAsia="arial" w:hAnsi="arial" w:cs="arial"/>
          <w:b w:val="0"/>
          <w:i w:val="0"/>
          <w:strike w:val="0"/>
          <w:noProof w:val="0"/>
          <w:color w:val="000000"/>
          <w:position w:val="0"/>
          <w:sz w:val="20"/>
          <w:u w:val="none"/>
          <w:vertAlign w:val="baseline"/>
        </w:rPr>
        <w:t xml:space="preserve">Although “[t]he testimony of a single witness is generally sufficient to establish a fact,” Georgia statutory law provides that, in “felony cases where the only witness is an accomplice,” the witness's testimony alone is not sufficient. OCGA § 24-14-8. “Thus, when the only witness is an accomplice, corroborating evidence is required to support a guilty verdict,” </w:t>
      </w:r>
      <w:bookmarkStart w:id="16" w:name="Bookmark_I695SG232SF86B0010000400"/>
      <w:bookmarkEnd w:id="16"/>
      <w:r>
        <w:rPr>
          <w:rFonts w:ascii="arial" w:eastAsia="arial" w:hAnsi="arial" w:cs="arial"/>
          <w:b w:val="0"/>
          <w:i/>
          <w:strike w:val="0"/>
          <w:noProof w:val="0"/>
          <w:color w:val="000000"/>
          <w:position w:val="0"/>
          <w:sz w:val="20"/>
          <w:u w:val="none"/>
          <w:vertAlign w:val="baseline"/>
        </w:rPr>
        <w:t xml:space="preserve">Barber v. </w:t>
      </w:r>
      <w:r>
        <w:rPr>
          <w:rFonts w:ascii="arial" w:eastAsia="arial" w:hAnsi="arial" w:cs="arial"/>
          <w:b w:val="0"/>
          <w:i/>
          <w:strike w:val="0"/>
          <w:noProof w:val="0"/>
          <w:color w:val="000000"/>
          <w:position w:val="0"/>
          <w:sz w:val="20"/>
          <w:u w:val="none"/>
          <w:vertAlign w:val="baseline"/>
        </w:rPr>
        <w:t>State</w:t>
      </w:r>
      <w:r>
        <w:rPr>
          <w:rFonts w:ascii="arial" w:eastAsia="arial" w:hAnsi="arial" w:cs="arial"/>
          <w:b w:val="0"/>
          <w:i w:val="0"/>
          <w:strike w:val="0"/>
          <w:noProof w:val="0"/>
          <w:color w:val="000000"/>
          <w:position w:val="0"/>
          <w:sz w:val="20"/>
          <w:u w:val="none"/>
          <w:vertAlign w:val="baseline"/>
        </w:rPr>
        <w:t>, 314 Ga. 759, 763 (1) (879 SE2d 428) (2022) (citation and punctuation omitted), and the jury was so instructed. However, “only slight evidence of corroboration is required,” and, as long as the corroborating evidence “directly connects the defendant to the crime or leads to the inference of guilt,” the “corroboration may consist entirely of circumstantial evidence.” Id. (citation and punctuation omitted).</w:t>
      </w:r>
    </w:p>
    <w:p>
      <w:pPr>
        <w:keepNext w:val="0"/>
        <w:spacing w:before="200" w:after="0" w:line="260" w:lineRule="atLeast"/>
        <w:ind w:left="0" w:right="0" w:firstLine="0"/>
        <w:jc w:val="both"/>
      </w:pPr>
      <w:bookmarkStart w:id="17" w:name="Bookmark_I695SG232SF86B0040000400"/>
      <w:bookmarkEnd w:id="17"/>
      <w:bookmarkStart w:id="18" w:name="Bookmark_I695SG232HM6T00030000400"/>
      <w:bookmarkEnd w:id="18"/>
      <w:r>
        <w:rPr>
          <w:rFonts w:ascii="arial" w:eastAsia="arial" w:hAnsi="arial" w:cs="arial"/>
          <w:b w:val="0"/>
          <w:i w:val="0"/>
          <w:strike w:val="0"/>
          <w:noProof w:val="0"/>
          <w:color w:val="000000"/>
          <w:position w:val="0"/>
          <w:sz w:val="20"/>
          <w:u w:val="none"/>
          <w:vertAlign w:val="baseline"/>
        </w:rPr>
        <w:t xml:space="preserve">Here, the </w:t>
      </w:r>
      <w:r>
        <w:rPr>
          <w:rFonts w:ascii="arial" w:eastAsia="arial" w:hAnsi="arial" w:cs="arial"/>
          <w:b w:val="0"/>
          <w:i w:val="0"/>
          <w:strike w:val="0"/>
          <w:noProof w:val="0"/>
          <w:color w:val="000000"/>
          <w:position w:val="0"/>
          <w:sz w:val="20"/>
          <w:u w:val="none"/>
          <w:vertAlign w:val="baseline"/>
        </w:rPr>
        <w:t>State</w:t>
      </w:r>
      <w:r>
        <w:rPr>
          <w:rFonts w:ascii="arial" w:eastAsia="arial" w:hAnsi="arial" w:cs="arial"/>
          <w:b w:val="0"/>
          <w:i w:val="0"/>
          <w:strike w:val="0"/>
          <w:noProof w:val="0"/>
          <w:color w:val="000000"/>
          <w:position w:val="0"/>
          <w:sz w:val="20"/>
          <w:u w:val="none"/>
          <w:vertAlign w:val="baseline"/>
        </w:rPr>
        <w:t xml:space="preserve"> showed that the physical description of the assailant with the gun who came into the hotel matched </w:t>
      </w:r>
      <w:r>
        <w:rPr>
          <w:rFonts w:ascii="arial" w:eastAsia="arial" w:hAnsi="arial" w:cs="arial"/>
          <w:b w:val="0"/>
          <w:i w:val="0"/>
          <w:strike w:val="0"/>
          <w:noProof w:val="0"/>
          <w:color w:val="000000"/>
          <w:position w:val="0"/>
          <w:sz w:val="20"/>
          <w:u w:val="none"/>
          <w:vertAlign w:val="baseline"/>
        </w:rPr>
        <w:t>Randolph</w:t>
      </w:r>
      <w:r>
        <w:rPr>
          <w:rFonts w:ascii="arial" w:eastAsia="arial" w:hAnsi="arial" w:cs="arial"/>
          <w:b w:val="0"/>
          <w:i w:val="0"/>
          <w:strike w:val="0"/>
          <w:noProof w:val="0"/>
          <w:color w:val="000000"/>
          <w:position w:val="0"/>
          <w:sz w:val="20"/>
          <w:u w:val="none"/>
          <w:vertAlign w:val="baseline"/>
        </w:rPr>
        <w:t xml:space="preserve">, whose fingerprint was found on the front-desk counter at the hotel, which had just </w:t>
      </w:r>
      <w:r>
        <w:rPr>
          <w:rFonts w:ascii="arial" w:eastAsia="arial" w:hAnsi="arial" w:cs="arial"/>
          <w:b w:val="0"/>
          <w:i w:val="0"/>
          <w:strike w:val="0"/>
          <w:noProof w:val="0"/>
          <w:color w:val="000000"/>
          <w:position w:val="0"/>
          <w:sz w:val="20"/>
          <w:u w:val="none"/>
          <w:vertAlign w:val="baseline"/>
        </w:rPr>
        <w:t> [**823] </w:t>
      </w:r>
      <w:r>
        <w:rPr>
          <w:rFonts w:ascii="arial" w:eastAsia="arial" w:hAnsi="arial" w:cs="arial"/>
          <w:b w:val="0"/>
          <w:i w:val="0"/>
          <w:strike w:val="0"/>
          <w:noProof w:val="0"/>
          <w:color w:val="000000"/>
          <w:position w:val="0"/>
          <w:sz w:val="20"/>
          <w:u w:val="none"/>
          <w:vertAlign w:val="baseline"/>
        </w:rPr>
        <w:t xml:space="preserve"> opened two weeks prior and at which</w:t>
      </w:r>
      <w:r>
        <w:rPr>
          <w:rFonts w:ascii="arial" w:eastAsia="arial" w:hAnsi="arial" w:cs="arial"/>
          <w:b w:val="0"/>
          <w:i w:val="0"/>
          <w:strike w:val="0"/>
          <w:noProof w:val="0"/>
          <w:color w:val="000000"/>
          <w:position w:val="0"/>
          <w:sz w:val="20"/>
          <w:u w:val="none"/>
          <w:vertAlign w:val="baseline"/>
        </w:rPr>
        <w:t> [***9] </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val="0"/>
          <w:i w:val="0"/>
          <w:strike w:val="0"/>
          <w:noProof w:val="0"/>
          <w:color w:val="000000"/>
          <w:position w:val="0"/>
          <w:sz w:val="20"/>
          <w:u w:val="none"/>
          <w:vertAlign w:val="baseline"/>
        </w:rPr>
        <w:t>Randolph</w:t>
      </w:r>
      <w:r>
        <w:rPr>
          <w:rFonts w:ascii="arial" w:eastAsia="arial" w:hAnsi="arial" w:cs="arial"/>
          <w:b w:val="0"/>
          <w:i w:val="0"/>
          <w:strike w:val="0"/>
          <w:noProof w:val="0"/>
          <w:color w:val="000000"/>
          <w:position w:val="0"/>
          <w:sz w:val="20"/>
          <w:u w:val="none"/>
          <w:vertAlign w:val="baseline"/>
        </w:rPr>
        <w:t xml:space="preserve"> had been neither a guest nor an employee. The jury was also able to independently compare an artist's sketch rendered based on Torres's description with a photograph of </w:t>
      </w:r>
      <w:r>
        <w:rPr>
          <w:rFonts w:ascii="arial" w:eastAsia="arial" w:hAnsi="arial" w:cs="arial"/>
          <w:b w:val="0"/>
          <w:i w:val="0"/>
          <w:strike w:val="0"/>
          <w:noProof w:val="0"/>
          <w:color w:val="000000"/>
          <w:position w:val="0"/>
          <w:sz w:val="20"/>
          <w:u w:val="none"/>
          <w:vertAlign w:val="baseline"/>
        </w:rPr>
        <w:t>Randolph</w:t>
      </w:r>
      <w:r>
        <w:rPr>
          <w:rFonts w:ascii="arial" w:eastAsia="arial" w:hAnsi="arial" w:cs="arial"/>
          <w:b w:val="0"/>
          <w:i w:val="0"/>
          <w:strike w:val="0"/>
          <w:noProof w:val="0"/>
          <w:color w:val="000000"/>
          <w:position w:val="0"/>
          <w:sz w:val="20"/>
          <w:u w:val="none"/>
          <w:vertAlign w:val="baseline"/>
        </w:rPr>
        <w:t xml:space="preserve"> taken in 2000. And while</w:t>
      </w:r>
      <w:r>
        <w:rPr>
          <w:rFonts w:ascii="arial" w:eastAsia="arial" w:hAnsi="arial" w:cs="arial"/>
          <w:b w:val="0"/>
          <w:i w:val="0"/>
          <w:strike w:val="0"/>
          <w:noProof w:val="0"/>
          <w:color w:val="000000"/>
          <w:position w:val="0"/>
          <w:sz w:val="20"/>
          <w:u w:val="none"/>
          <w:vertAlign w:val="baseline"/>
        </w:rPr>
        <w:t> [*151] </w:t>
      </w:r>
      <w:r>
        <w:rPr>
          <w:rFonts w:ascii="arial" w:eastAsia="arial" w:hAnsi="arial" w:cs="arial"/>
          <w:b w:val="0"/>
          <w:i w:val="0"/>
          <w:strike w:val="0"/>
          <w:noProof w:val="0"/>
          <w:color w:val="000000"/>
          <w:position w:val="0"/>
          <w:sz w:val="20"/>
          <w:u w:val="none"/>
          <w:vertAlign w:val="baseline"/>
        </w:rPr>
        <w:t xml:space="preserve"> in jail in 2014, </w:t>
      </w:r>
      <w:r>
        <w:rPr>
          <w:rFonts w:ascii="arial" w:eastAsia="arial" w:hAnsi="arial" w:cs="arial"/>
          <w:b w:val="0"/>
          <w:i w:val="0"/>
          <w:strike w:val="0"/>
          <w:noProof w:val="0"/>
          <w:color w:val="000000"/>
          <w:position w:val="0"/>
          <w:sz w:val="20"/>
          <w:u w:val="none"/>
          <w:vertAlign w:val="baseline"/>
        </w:rPr>
        <w:t>Randolph</w:t>
      </w:r>
      <w:r>
        <w:rPr>
          <w:rFonts w:ascii="arial" w:eastAsia="arial" w:hAnsi="arial" w:cs="arial"/>
          <w:b w:val="0"/>
          <w:i w:val="0"/>
          <w:strike w:val="0"/>
          <w:noProof w:val="0"/>
          <w:color w:val="000000"/>
          <w:position w:val="0"/>
          <w:sz w:val="20"/>
          <w:u w:val="none"/>
          <w:vertAlign w:val="baseline"/>
        </w:rPr>
        <w:t xml:space="preserve"> made incriminating statements that were played for the jury. This evidence was more than sufficient to corroborate Brown's testimony as a matter of Georgia statutory law.</w:t>
      </w:r>
      <w:r>
        <w:rPr>
          <w:rFonts w:ascii="arial" w:eastAsia="arial" w:hAnsi="arial" w:cs="arial"/>
          <w:vertAlign w:val="superscript"/>
        </w:rPr>
        <w:footnoteReference w:customMarkFollows="1" w:id="6"/>
        <w:t xml:space="preserve">5</w:t>
      </w:r>
      <w:r>
        <w:rPr>
          <w:rFonts w:ascii="arial" w:eastAsia="arial" w:hAnsi="arial" w:cs="arial"/>
          <w:b w:val="0"/>
          <w:i w:val="0"/>
          <w:strike w:val="0"/>
          <w:noProof w:val="0"/>
          <w:color w:val="000000"/>
          <w:position w:val="0"/>
          <w:sz w:val="20"/>
          <w:u w:val="none"/>
          <w:vertAlign w:val="baseline"/>
        </w:rPr>
        <w:t xml:space="preserve"> See </w:t>
      </w:r>
      <w:bookmarkStart w:id="21" w:name="Bookmark_I695SG232SF86B0030000400"/>
      <w:bookmarkEnd w:id="21"/>
      <w:r>
        <w:rPr>
          <w:rFonts w:ascii="arial" w:eastAsia="arial" w:hAnsi="arial" w:cs="arial"/>
          <w:b w:val="0"/>
          <w:i/>
          <w:strike w:val="0"/>
          <w:noProof w:val="0"/>
          <w:color w:val="000000"/>
          <w:position w:val="0"/>
          <w:sz w:val="20"/>
          <w:u w:val="none"/>
          <w:vertAlign w:val="baseline"/>
        </w:rPr>
        <w:t xml:space="preserve">Poole v. </w:t>
      </w:r>
      <w:r>
        <w:rPr>
          <w:rFonts w:ascii="arial" w:eastAsia="arial" w:hAnsi="arial" w:cs="arial"/>
          <w:b w:val="0"/>
          <w:i/>
          <w:strike w:val="0"/>
          <w:noProof w:val="0"/>
          <w:color w:val="000000"/>
          <w:position w:val="0"/>
          <w:sz w:val="20"/>
          <w:u w:val="none"/>
          <w:vertAlign w:val="baseline"/>
        </w:rPr>
        <w:t>State</w:t>
      </w:r>
      <w:r>
        <w:rPr>
          <w:rFonts w:ascii="arial" w:eastAsia="arial" w:hAnsi="arial" w:cs="arial"/>
          <w:b w:val="0"/>
          <w:i w:val="0"/>
          <w:strike w:val="0"/>
          <w:noProof w:val="0"/>
          <w:color w:val="000000"/>
          <w:position w:val="0"/>
          <w:sz w:val="20"/>
          <w:u w:val="none"/>
          <w:vertAlign w:val="baseline"/>
        </w:rPr>
        <w:t xml:space="preserve">, 312 Ga. 515, 522 (863 SE2d 93) (2021) (accomplice testimony sufficiently corroborated by physical evidence collected at the scene, along with other evidence); </w:t>
      </w:r>
      <w:bookmarkStart w:id="22" w:name="Bookmark_I695SG232SF86B0050000400"/>
      <w:bookmarkEnd w:id="22"/>
      <w:r>
        <w:rPr>
          <w:rFonts w:ascii="arial" w:eastAsia="arial" w:hAnsi="arial" w:cs="arial"/>
          <w:b w:val="0"/>
          <w:i/>
          <w:strike w:val="0"/>
          <w:noProof w:val="0"/>
          <w:color w:val="000000"/>
          <w:position w:val="0"/>
          <w:sz w:val="20"/>
          <w:u w:val="none"/>
          <w:vertAlign w:val="baseline"/>
        </w:rPr>
        <w:t xml:space="preserve">Johnson v. </w:t>
      </w:r>
      <w:r>
        <w:rPr>
          <w:rFonts w:ascii="arial" w:eastAsia="arial" w:hAnsi="arial" w:cs="arial"/>
          <w:b w:val="0"/>
          <w:i/>
          <w:strike w:val="0"/>
          <w:noProof w:val="0"/>
          <w:color w:val="000000"/>
          <w:position w:val="0"/>
          <w:sz w:val="20"/>
          <w:u w:val="none"/>
          <w:vertAlign w:val="baseline"/>
        </w:rPr>
        <w:t>State</w:t>
      </w:r>
      <w:r>
        <w:rPr>
          <w:rFonts w:ascii="arial" w:eastAsia="arial" w:hAnsi="arial" w:cs="arial"/>
          <w:b w:val="0"/>
          <w:i w:val="0"/>
          <w:strike w:val="0"/>
          <w:noProof w:val="0"/>
          <w:color w:val="000000"/>
          <w:position w:val="0"/>
          <w:sz w:val="20"/>
          <w:u w:val="none"/>
          <w:vertAlign w:val="baseline"/>
        </w:rPr>
        <w:t>, 288 Ga. 803, 805-806 (2) (708 SE2d 331) (2011) (jury was authorized to find that a witness's physical description of the shooter matched that of the defendant and that the accomplice's testimony was therefore sufficiently corroborated). Accordingly, this enumeration of error fails.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2. </w:t>
      </w:r>
      <w:r>
        <w:rPr>
          <w:rFonts w:ascii="arial" w:eastAsia="arial" w:hAnsi="arial" w:cs="arial"/>
          <w:b w:val="0"/>
          <w:i w:val="0"/>
          <w:strike w:val="0"/>
          <w:noProof w:val="0"/>
          <w:color w:val="000000"/>
          <w:position w:val="0"/>
          <w:sz w:val="20"/>
          <w:u w:val="none"/>
          <w:vertAlign w:val="baseline"/>
        </w:rPr>
        <w:t>Randolph</w:t>
      </w:r>
      <w:r>
        <w:rPr>
          <w:rFonts w:ascii="arial" w:eastAsia="arial" w:hAnsi="arial" w:cs="arial"/>
          <w:b w:val="0"/>
          <w:i w:val="0"/>
          <w:strike w:val="0"/>
          <w:noProof w:val="0"/>
          <w:color w:val="000000"/>
          <w:position w:val="0"/>
          <w:sz w:val="20"/>
          <w:u w:val="none"/>
          <w:vertAlign w:val="baseline"/>
        </w:rPr>
        <w:t xml:space="preserve"> also asserts that the trial court erred in admitting evidence of the 2000 armed robbery and the 2011 home burglary as other-acts evidence under OCGA § 24-4-404 (b) (“Rule 404 (b)”). </w:t>
      </w:r>
      <w:bookmarkStart w:id="23" w:name="Bookmark_I695SG232HM6T00050000400"/>
      <w:bookmarkEnd w:id="23"/>
      <w:bookmarkStart w:id="24" w:name="Bookmark_LNHNREFclscc2"/>
      <w:bookmarkEnd w:id="24"/>
      <w:r>
        <w:rPr>
          <w:rFonts w:ascii="arial" w:eastAsia="arial" w:hAnsi="arial" w:cs="arial"/>
          <w:b w:val="0"/>
          <w:i w:val="0"/>
          <w:strike w:val="0"/>
          <w:noProof w:val="0"/>
          <w:color w:val="000000"/>
          <w:position w:val="0"/>
          <w:sz w:val="20"/>
          <w:u w:val="none"/>
          <w:vertAlign w:val="baseline"/>
        </w:rPr>
        <w:t>To be admissible under Rule 404 (b), other-acts evidence must satisfy a three-part test:</w:t>
      </w:r>
    </w:p>
    <w:p>
      <w:pPr>
        <w:keepNext w:val="0"/>
        <w:spacing w:before="200" w:after="0" w:line="260" w:lineRule="atLeast"/>
        <w:ind w:left="400" w:right="0" w:firstLine="0"/>
        <w:jc w:val="both"/>
      </w:pPr>
      <w:bookmarkStart w:id="25" w:name="Bookmark_I695SG232HM6T00050000400_2"/>
      <w:bookmarkEnd w:id="25"/>
      <w:r>
        <w:rPr>
          <w:rFonts w:ascii="arial" w:eastAsia="arial" w:hAnsi="arial" w:cs="arial"/>
          <w:b w:val="0"/>
          <w:i w:val="0"/>
          <w:strike w:val="0"/>
          <w:noProof w:val="0"/>
          <w:color w:val="000000"/>
          <w:position w:val="0"/>
          <w:sz w:val="20"/>
          <w:u w:val="none"/>
          <w:vertAlign w:val="baseline"/>
        </w:rPr>
        <w:t>(1) the evidence is relevant to an issue in the case other than the defendant's character, (2) the probative value is not substantially outweighed by the danger of unfair prejudice as required</w:t>
      </w:r>
      <w:r>
        <w:rPr>
          <w:rFonts w:ascii="arial" w:eastAsia="arial" w:hAnsi="arial" w:cs="arial"/>
          <w:b w:val="0"/>
          <w:i w:val="0"/>
          <w:strike w:val="0"/>
          <w:noProof w:val="0"/>
          <w:color w:val="000000"/>
          <w:position w:val="0"/>
          <w:sz w:val="20"/>
          <w:u w:val="none"/>
          <w:vertAlign w:val="baseline"/>
        </w:rPr>
        <w:t> [***10] </w:t>
      </w:r>
      <w:r>
        <w:rPr>
          <w:rFonts w:ascii="arial" w:eastAsia="arial" w:hAnsi="arial" w:cs="arial"/>
          <w:b w:val="0"/>
          <w:i w:val="0"/>
          <w:strike w:val="0"/>
          <w:noProof w:val="0"/>
          <w:color w:val="000000"/>
          <w:position w:val="0"/>
          <w:sz w:val="20"/>
          <w:u w:val="none"/>
          <w:vertAlign w:val="baseline"/>
        </w:rPr>
        <w:t xml:space="preserve"> by OCGA § 24-4-403 (“Rule 403”), and (3) there is sufficient proof for a jury to find by a preponderance of the evidence that the defendant committed the prior act.</w:t>
      </w:r>
    </w:p>
    <w:p>
      <w:pPr>
        <w:keepNext w:val="0"/>
        <w:spacing w:before="200" w:after="0" w:line="260" w:lineRule="atLeast"/>
        <w:ind w:left="0" w:right="0" w:firstLine="0"/>
        <w:jc w:val="both"/>
      </w:pPr>
      <w:bookmarkStart w:id="26" w:name="Bookmark_I695SG232HM6T00050000400_3"/>
      <w:bookmarkEnd w:id="26"/>
      <w:bookmarkStart w:id="27" w:name="Bookmark_I695SG232HM6T00040000400"/>
      <w:bookmarkEnd w:id="27"/>
      <w:r>
        <w:rPr>
          <w:rFonts w:ascii="arial" w:eastAsia="arial" w:hAnsi="arial" w:cs="arial"/>
          <w:b w:val="0"/>
          <w:i/>
          <w:strike w:val="0"/>
          <w:noProof w:val="0"/>
          <w:color w:val="000000"/>
          <w:position w:val="0"/>
          <w:sz w:val="20"/>
          <w:u w:val="none"/>
          <w:vertAlign w:val="baseline"/>
        </w:rPr>
        <w:t xml:space="preserve">Lowe v. </w:t>
      </w:r>
      <w:r>
        <w:rPr>
          <w:rFonts w:ascii="arial" w:eastAsia="arial" w:hAnsi="arial" w:cs="arial"/>
          <w:b w:val="0"/>
          <w:i/>
          <w:strike w:val="0"/>
          <w:noProof w:val="0"/>
          <w:color w:val="000000"/>
          <w:position w:val="0"/>
          <w:sz w:val="20"/>
          <w:u w:val="none"/>
          <w:vertAlign w:val="baseline"/>
        </w:rPr>
        <w:t>State</w:t>
      </w:r>
      <w:r>
        <w:rPr>
          <w:rFonts w:ascii="arial" w:eastAsia="arial" w:hAnsi="arial" w:cs="arial"/>
          <w:b w:val="0"/>
          <w:i w:val="0"/>
          <w:strike w:val="0"/>
          <w:noProof w:val="0"/>
          <w:color w:val="000000"/>
          <w:position w:val="0"/>
          <w:sz w:val="20"/>
          <w:u w:val="none"/>
          <w:vertAlign w:val="baseline"/>
        </w:rPr>
        <w:t xml:space="preserve">, 314 Ga. 788, 792 (2) (a) (879 SE2d 492) (2022) (citation and punctuation omitted). “We review the trial court's decision to admit evidence pursuant to Rule 404 (b) for a clear abuse of discretion.” </w:t>
      </w:r>
      <w:bookmarkStart w:id="28" w:name="Bookmark_I695SG242HM6T20010000400"/>
      <w:bookmarkEnd w:id="28"/>
      <w:r>
        <w:rPr>
          <w:rFonts w:ascii="arial" w:eastAsia="arial" w:hAnsi="arial" w:cs="arial"/>
          <w:b w:val="0"/>
          <w:i/>
          <w:strike w:val="0"/>
          <w:noProof w:val="0"/>
          <w:color w:val="000000"/>
          <w:position w:val="0"/>
          <w:sz w:val="20"/>
          <w:u w:val="none"/>
          <w:vertAlign w:val="baseline"/>
        </w:rPr>
        <w:t xml:space="preserve">Hood v. </w:t>
      </w:r>
      <w:r>
        <w:rPr>
          <w:rFonts w:ascii="arial" w:eastAsia="arial" w:hAnsi="arial" w:cs="arial"/>
          <w:b w:val="0"/>
          <w:i/>
          <w:strike w:val="0"/>
          <w:noProof w:val="0"/>
          <w:color w:val="000000"/>
          <w:position w:val="0"/>
          <w:sz w:val="20"/>
          <w:u w:val="none"/>
          <w:vertAlign w:val="baseline"/>
        </w:rPr>
        <w:t>State</w:t>
      </w:r>
      <w:r>
        <w:rPr>
          <w:rFonts w:ascii="arial" w:eastAsia="arial" w:hAnsi="arial" w:cs="arial"/>
          <w:b w:val="0"/>
          <w:i w:val="0"/>
          <w:strike w:val="0"/>
          <w:noProof w:val="0"/>
          <w:color w:val="000000"/>
          <w:position w:val="0"/>
          <w:sz w:val="20"/>
          <w:u w:val="none"/>
          <w:vertAlign w:val="baseline"/>
        </w:rPr>
        <w:t>, 309 Ga. 493, 499 (2) (847 SE2d 172) (2020).</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Here, following a pretrial hearing, the trial court entered an order admitting evidence of both the 2000 armed robbery and the 2011 home burglary under Rule 404 (b) for the purposes of proving intent, motive, plan, or modus operandi.</w:t>
      </w:r>
      <w:r>
        <w:rPr>
          <w:rFonts w:ascii="arial" w:eastAsia="arial" w:hAnsi="arial" w:cs="arial"/>
          <w:vertAlign w:val="superscript"/>
        </w:rPr>
        <w:footnoteReference w:customMarkFollows="1" w:id="7"/>
        <w:t xml:space="preserve">6</w:t>
      </w:r>
      <w:r>
        <w:rPr>
          <w:rFonts w:ascii="arial" w:eastAsia="arial" w:hAnsi="arial" w:cs="arial"/>
          <w:b w:val="0"/>
          <w:i w:val="0"/>
          <w:strike w:val="0"/>
          <w:noProof w:val="0"/>
          <w:color w:val="000000"/>
          <w:position w:val="0"/>
          <w:sz w:val="20"/>
          <w:u w:val="none"/>
          <w:vertAlign w:val="baseline"/>
        </w:rPr>
        <w:t xml:space="preserve"> In considering the issue again at the motion for new trial stage, the trial court determined that the 2000 armed robbery was relevant to show </w:t>
      </w:r>
      <w:r>
        <w:rPr>
          <w:rFonts w:ascii="arial" w:eastAsia="arial" w:hAnsi="arial" w:cs="arial"/>
          <w:b w:val="0"/>
          <w:i w:val="0"/>
          <w:strike w:val="0"/>
          <w:noProof w:val="0"/>
          <w:color w:val="000000"/>
          <w:position w:val="0"/>
          <w:sz w:val="20"/>
          <w:u w:val="none"/>
          <w:vertAlign w:val="baseline"/>
        </w:rPr>
        <w:t>Randolph</w:t>
      </w:r>
      <w:r>
        <w:rPr>
          <w:rFonts w:ascii="arial" w:eastAsia="arial" w:hAnsi="arial" w:cs="arial"/>
          <w:b w:val="0"/>
          <w:i w:val="0"/>
          <w:strike w:val="0"/>
          <w:noProof w:val="0"/>
          <w:color w:val="000000"/>
          <w:position w:val="0"/>
          <w:sz w:val="20"/>
          <w:u w:val="none"/>
          <w:vertAlign w:val="baseline"/>
        </w:rPr>
        <w:t>'s intent because he pleaded not guilty in this case and maintained his innocence throughout trial and that it was also relevant to show plan and modus operandi because of the similarities between the</w:t>
      </w:r>
      <w:r>
        <w:rPr>
          <w:rFonts w:ascii="arial" w:eastAsia="arial" w:hAnsi="arial" w:cs="arial"/>
          <w:b w:val="0"/>
          <w:i w:val="0"/>
          <w:strike w:val="0"/>
          <w:noProof w:val="0"/>
          <w:color w:val="000000"/>
          <w:position w:val="0"/>
          <w:sz w:val="20"/>
          <w:u w:val="none"/>
          <w:vertAlign w:val="baseline"/>
        </w:rPr>
        <w:t> [*152] </w:t>
      </w:r>
      <w:r>
        <w:rPr>
          <w:rFonts w:ascii="arial" w:eastAsia="arial" w:hAnsi="arial" w:cs="arial"/>
          <w:b w:val="0"/>
          <w:i w:val="0"/>
          <w:strike w:val="0"/>
          <w:noProof w:val="0"/>
          <w:color w:val="000000"/>
          <w:position w:val="0"/>
          <w:sz w:val="20"/>
          <w:u w:val="none"/>
          <w:vertAlign w:val="baseline"/>
        </w:rPr>
        <w:t xml:space="preserve"> two robberies. Although the </w:t>
      </w:r>
      <w:r>
        <w:rPr>
          <w:rFonts w:ascii="arial" w:eastAsia="arial" w:hAnsi="arial" w:cs="arial"/>
          <w:b w:val="0"/>
          <w:i w:val="0"/>
          <w:strike w:val="0"/>
          <w:noProof w:val="0"/>
          <w:color w:val="000000"/>
          <w:position w:val="0"/>
          <w:sz w:val="20"/>
          <w:u w:val="none"/>
          <w:vertAlign w:val="baseline"/>
        </w:rPr>
        <w:t>State</w:t>
      </w:r>
      <w:r>
        <w:rPr>
          <w:rFonts w:ascii="arial" w:eastAsia="arial" w:hAnsi="arial" w:cs="arial"/>
          <w:b w:val="0"/>
          <w:i w:val="0"/>
          <w:strike w:val="0"/>
          <w:noProof w:val="0"/>
          <w:color w:val="000000"/>
          <w:position w:val="0"/>
          <w:sz w:val="20"/>
          <w:u w:val="none"/>
          <w:vertAlign w:val="baseline"/>
        </w:rPr>
        <w:t xml:space="preserve"> conceded at the motion for new trial hearing that the 2011 home burglary evidence should not have been admitted, the trial court found that its admission was harmless in light of the overwhelming evidence against </w:t>
      </w:r>
      <w:r>
        <w:rPr>
          <w:rFonts w:ascii="arial" w:eastAsia="arial" w:hAnsi="arial" w:cs="arial"/>
          <w:b w:val="0"/>
          <w:i w:val="0"/>
          <w:strike w:val="0"/>
          <w:noProof w:val="0"/>
          <w:color w:val="000000"/>
          <w:position w:val="0"/>
          <w:sz w:val="20"/>
          <w:u w:val="none"/>
          <w:vertAlign w:val="baseline"/>
        </w:rPr>
        <w:t>Randolph</w:t>
      </w:r>
      <w:r>
        <w:rPr>
          <w:rFonts w:ascii="arial" w:eastAsia="arial" w:hAnsi="arial" w:cs="arial"/>
          <w:b w:val="0"/>
          <w:i w:val="0"/>
          <w:strike w:val="0"/>
          <w:noProof w:val="0"/>
          <w:color w:val="000000"/>
          <w:position w:val="0"/>
          <w:sz w:val="20"/>
          <w:u w:val="none"/>
          <w:vertAlign w:val="baseline"/>
        </w:rPr>
        <w:t xml:space="preserve"> and because the error caused minimal prejudice, especially in light of the properly admitted</w:t>
      </w:r>
      <w:r>
        <w:rPr>
          <w:rFonts w:ascii="arial" w:eastAsia="arial" w:hAnsi="arial" w:cs="arial"/>
          <w:b w:val="0"/>
          <w:i w:val="0"/>
          <w:strike w:val="0"/>
          <w:noProof w:val="0"/>
          <w:color w:val="000000"/>
          <w:position w:val="0"/>
          <w:sz w:val="20"/>
          <w:u w:val="none"/>
          <w:vertAlign w:val="baseline"/>
        </w:rPr>
        <w:t> [***11] </w:t>
      </w:r>
      <w:r>
        <w:rPr>
          <w:rFonts w:ascii="arial" w:eastAsia="arial" w:hAnsi="arial" w:cs="arial"/>
          <w:b w:val="0"/>
          <w:i w:val="0"/>
          <w:strike w:val="0"/>
          <w:noProof w:val="0"/>
          <w:color w:val="000000"/>
          <w:position w:val="0"/>
          <w:sz w:val="20"/>
          <w:u w:val="none"/>
          <w:vertAlign w:val="baseline"/>
        </w:rPr>
        <w:t xml:space="preserve"> 2000 armed robbery.</w:t>
      </w:r>
    </w:p>
    <w:p>
      <w:pPr>
        <w:keepNext w:val="0"/>
        <w:spacing w:before="200" w:after="0" w:line="260" w:lineRule="atLeast"/>
        <w:ind w:left="0" w:right="0" w:firstLine="0"/>
        <w:jc w:val="both"/>
      </w:pPr>
      <w:bookmarkStart w:id="30" w:name="Bookmark__2"/>
      <w:bookmarkEnd w:id="30"/>
      <w:r>
        <w:rPr>
          <w:rFonts w:ascii="arial" w:eastAsia="arial" w:hAnsi="arial" w:cs="arial"/>
          <w:b w:val="0"/>
          <w:i w:val="0"/>
          <w:strike w:val="0"/>
          <w:noProof w:val="0"/>
          <w:color w:val="000000"/>
          <w:position w:val="0"/>
          <w:sz w:val="20"/>
          <w:u w:val="none"/>
          <w:vertAlign w:val="baseline"/>
        </w:rPr>
        <w:t xml:space="preserve">(2) </w:t>
      </w:r>
      <w:bookmarkStart w:id="31" w:name="Bookmark_I695SG2428T4BN0010000400"/>
      <w:bookmarkEnd w:id="31"/>
      <w:bookmarkStart w:id="32" w:name="Bookmark_I695SG242HM6T20040000400"/>
      <w:bookmarkEnd w:id="32"/>
      <w:r>
        <w:rPr>
          <w:rFonts w:ascii="arial" w:eastAsia="arial" w:hAnsi="arial" w:cs="arial"/>
          <w:b w:val="0"/>
          <w:i w:val="0"/>
          <w:strike w:val="0"/>
          <w:noProof w:val="0"/>
          <w:color w:val="000000"/>
          <w:position w:val="0"/>
          <w:sz w:val="20"/>
          <w:u w:val="none"/>
          <w:vertAlign w:val="baseline"/>
        </w:rPr>
        <w:t xml:space="preserve">(a) </w:t>
      </w:r>
      <w:r>
        <w:rPr>
          <w:rFonts w:ascii="arial" w:eastAsia="arial" w:hAnsi="arial" w:cs="arial"/>
          <w:b w:val="0"/>
          <w:i w:val="0"/>
          <w:strike w:val="0"/>
          <w:noProof w:val="0"/>
          <w:color w:val="000000"/>
          <w:position w:val="0"/>
          <w:sz w:val="20"/>
          <w:u w:val="none"/>
          <w:vertAlign w:val="baseline"/>
        </w:rPr>
        <w:t>Randolph</w:t>
      </w:r>
      <w:r>
        <w:rPr>
          <w:rFonts w:ascii="arial" w:eastAsia="arial" w:hAnsi="arial" w:cs="arial"/>
          <w:b w:val="0"/>
          <w:i w:val="0"/>
          <w:strike w:val="0"/>
          <w:noProof w:val="0"/>
          <w:color w:val="000000"/>
          <w:position w:val="0"/>
          <w:sz w:val="20"/>
          <w:u w:val="none"/>
          <w:vertAlign w:val="baseline"/>
        </w:rPr>
        <w:t xml:space="preserve"> argues that evidence of the 2000 armed robbery was inadmissible under both the relevance and probative-value-versus-unfair-prejudice prongs of the Rule 404 (b) test.</w:t>
      </w:r>
      <w:r>
        <w:rPr>
          <w:rFonts w:ascii="arial" w:eastAsia="arial" w:hAnsi="arial" w:cs="arial"/>
          <w:vertAlign w:val="superscript"/>
        </w:rPr>
        <w:footnoteReference w:customMarkFollows="1" w:id="8"/>
        <w:t xml:space="preserve">7</w:t>
      </w:r>
      <w:r>
        <w:rPr>
          <w:rFonts w:ascii="arial" w:eastAsia="arial" w:hAnsi="arial" w:cs="arial"/>
          <w:b w:val="0"/>
          <w:i w:val="0"/>
          <w:strike w:val="0"/>
          <w:noProof w:val="0"/>
          <w:color w:val="000000"/>
          <w:position w:val="0"/>
          <w:sz w:val="20"/>
          <w:u w:val="none"/>
          <w:vertAlign w:val="baseline"/>
        </w:rPr>
        <w:t xml:space="preserve"> According to </w:t>
      </w:r>
      <w:r>
        <w:rPr>
          <w:rFonts w:ascii="arial" w:eastAsia="arial" w:hAnsi="arial" w:cs="arial"/>
          <w:b w:val="0"/>
          <w:i w:val="0"/>
          <w:strike w:val="0"/>
          <w:noProof w:val="0"/>
          <w:color w:val="000000"/>
          <w:position w:val="0"/>
          <w:sz w:val="20"/>
          <w:u w:val="none"/>
          <w:vertAlign w:val="baseline"/>
        </w:rPr>
        <w:t>Randolph</w:t>
      </w:r>
      <w:r>
        <w:rPr>
          <w:rFonts w:ascii="arial" w:eastAsia="arial" w:hAnsi="arial" w:cs="arial"/>
          <w:b w:val="0"/>
          <w:i w:val="0"/>
          <w:strike w:val="0"/>
          <w:noProof w:val="0"/>
          <w:color w:val="000000"/>
          <w:position w:val="0"/>
          <w:sz w:val="20"/>
          <w:u w:val="none"/>
          <w:vertAlign w:val="baseline"/>
        </w:rPr>
        <w:t xml:space="preserve">, the 2000 armed robbery was not relevant to show intent because it was not committed with the same </w:t>
      </w:r>
      <w:r>
        <w:rPr>
          <w:rFonts w:ascii="arial" w:eastAsia="arial" w:hAnsi="arial" w:cs="arial"/>
          <w:b w:val="0"/>
          <w:i w:val="0"/>
          <w:strike w:val="0"/>
          <w:noProof w:val="0"/>
          <w:color w:val="000000"/>
          <w:position w:val="0"/>
          <w:sz w:val="20"/>
          <w:u w:val="none"/>
          <w:vertAlign w:val="baseline"/>
        </w:rPr>
        <w:t>state</w:t>
      </w:r>
      <w:r>
        <w:rPr>
          <w:rFonts w:ascii="arial" w:eastAsia="arial" w:hAnsi="arial" w:cs="arial"/>
          <w:b w:val="0"/>
          <w:i w:val="0"/>
          <w:strike w:val="0"/>
          <w:noProof w:val="0"/>
          <w:color w:val="000000"/>
          <w:position w:val="0"/>
          <w:sz w:val="20"/>
          <w:u w:val="none"/>
          <w:vertAlign w:val="baseline"/>
        </w:rPr>
        <w:t xml:space="preserve"> of mind as the charged murder in this case. This argument fails. Because </w:t>
      </w:r>
      <w:r>
        <w:rPr>
          <w:rFonts w:ascii="arial" w:eastAsia="arial" w:hAnsi="arial" w:cs="arial"/>
          <w:b w:val="0"/>
          <w:i w:val="0"/>
          <w:strike w:val="0"/>
          <w:noProof w:val="0"/>
          <w:color w:val="000000"/>
          <w:position w:val="0"/>
          <w:sz w:val="20"/>
          <w:u w:val="none"/>
          <w:vertAlign w:val="baseline"/>
        </w:rPr>
        <w:t>Randolph</w:t>
      </w:r>
      <w:r>
        <w:rPr>
          <w:rFonts w:ascii="arial" w:eastAsia="arial" w:hAnsi="arial" w:cs="arial"/>
          <w:b w:val="0"/>
          <w:i w:val="0"/>
          <w:strike w:val="0"/>
          <w:noProof w:val="0"/>
          <w:color w:val="000000"/>
          <w:position w:val="0"/>
          <w:sz w:val="20"/>
          <w:u w:val="none"/>
          <w:vertAlign w:val="baseline"/>
        </w:rPr>
        <w:t xml:space="preserve"> entered a plea of not guilty to the armed robbery charges and did not otherwise take affirmative steps to remove intent as an issue, he made intent “a material issue” in this case. </w:t>
      </w:r>
      <w:bookmarkStart w:id="34" w:name="Bookmark_I695SG242HM6T20030000400"/>
      <w:bookmarkEnd w:id="34"/>
      <w:r>
        <w:rPr>
          <w:rFonts w:ascii="arial" w:eastAsia="arial" w:hAnsi="arial" w:cs="arial"/>
          <w:b w:val="0"/>
          <w:i/>
          <w:strike w:val="0"/>
          <w:noProof w:val="0"/>
          <w:color w:val="000000"/>
          <w:position w:val="0"/>
          <w:sz w:val="20"/>
          <w:u w:val="none"/>
          <w:vertAlign w:val="baseline"/>
        </w:rPr>
        <w:t>Hood</w:t>
      </w:r>
      <w:r>
        <w:rPr>
          <w:rFonts w:ascii="arial" w:eastAsia="arial" w:hAnsi="arial" w:cs="arial"/>
          <w:b w:val="0"/>
          <w:i w:val="0"/>
          <w:strike w:val="0"/>
          <w:noProof w:val="0"/>
          <w:color w:val="000000"/>
          <w:position w:val="0"/>
          <w:sz w:val="20"/>
          <w:u w:val="none"/>
          <w:vertAlign w:val="baseline"/>
        </w:rPr>
        <w:t xml:space="preserve">, 309 Ga. at 499-500 (2) (citation and punctuation omitted). </w:t>
      </w:r>
      <w:bookmarkStart w:id="35" w:name="Bookmark_I695SG2428T4BN0030000400"/>
      <w:bookmarkEnd w:id="35"/>
      <w:bookmarkStart w:id="36" w:name="Bookmark_LNHNREFclscc3"/>
      <w:bookmarkEnd w:id="36"/>
      <w:r>
        <w:rPr>
          <w:rFonts w:ascii="arial" w:eastAsia="arial" w:hAnsi="arial" w:cs="arial"/>
          <w:b w:val="0"/>
          <w:i w:val="0"/>
          <w:strike w:val="0"/>
          <w:noProof w:val="0"/>
          <w:color w:val="000000"/>
          <w:position w:val="0"/>
          <w:sz w:val="20"/>
          <w:u w:val="none"/>
          <w:vertAlign w:val="baseline"/>
        </w:rPr>
        <w:t xml:space="preserve">Under such circumstances, “the </w:t>
      </w:r>
      <w:r>
        <w:rPr>
          <w:rFonts w:ascii="arial" w:eastAsia="arial" w:hAnsi="arial" w:cs="arial"/>
          <w:b w:val="0"/>
          <w:i w:val="0"/>
          <w:strike w:val="0"/>
          <w:noProof w:val="0"/>
          <w:color w:val="000000"/>
          <w:position w:val="0"/>
          <w:sz w:val="20"/>
          <w:u w:val="none"/>
          <w:vertAlign w:val="baseline"/>
        </w:rPr>
        <w:t>State</w:t>
      </w:r>
      <w:r>
        <w:rPr>
          <w:rFonts w:ascii="arial" w:eastAsia="arial" w:hAnsi="arial" w:cs="arial"/>
          <w:b w:val="0"/>
          <w:i w:val="0"/>
          <w:strike w:val="0"/>
          <w:noProof w:val="0"/>
          <w:color w:val="000000"/>
          <w:position w:val="0"/>
          <w:sz w:val="20"/>
          <w:u w:val="none"/>
          <w:vertAlign w:val="baseline"/>
        </w:rPr>
        <w:t xml:space="preserve"> may prove intent by qualifying Rule 404 (b) evidence.” </w:t>
      </w:r>
      <w:bookmarkStart w:id="37" w:name="Bookmark_I695SG242HM6T20050000400"/>
      <w:bookmarkEnd w:id="37"/>
      <w:r>
        <w:rPr>
          <w:rFonts w:ascii="arial" w:eastAsia="arial" w:hAnsi="arial" w:cs="arial"/>
          <w:b w:val="0"/>
          <w:i/>
          <w:strike w:val="0"/>
          <w:noProof w:val="0"/>
          <w:color w:val="000000"/>
          <w:position w:val="0"/>
          <w:sz w:val="20"/>
          <w:u w:val="none"/>
          <w:vertAlign w:val="baseline"/>
        </w:rPr>
        <w:t xml:space="preserve">Naples v. </w:t>
      </w:r>
      <w:r>
        <w:rPr>
          <w:rFonts w:ascii="arial" w:eastAsia="arial" w:hAnsi="arial" w:cs="arial"/>
          <w:b w:val="0"/>
          <w:i/>
          <w:strike w:val="0"/>
          <w:noProof w:val="0"/>
          <w:color w:val="000000"/>
          <w:position w:val="0"/>
          <w:sz w:val="20"/>
          <w:u w:val="none"/>
          <w:vertAlign w:val="baseline"/>
        </w:rPr>
        <w:t>State</w:t>
      </w:r>
      <w:r>
        <w:rPr>
          <w:rFonts w:ascii="arial" w:eastAsia="arial" w:hAnsi="arial" w:cs="arial"/>
          <w:b w:val="0"/>
          <w:i w:val="0"/>
          <w:strike w:val="0"/>
          <w:noProof w:val="0"/>
          <w:color w:val="000000"/>
          <w:position w:val="0"/>
          <w:sz w:val="20"/>
          <w:u w:val="none"/>
          <w:vertAlign w:val="baseline"/>
        </w:rPr>
        <w:t xml:space="preserve">, 308 Ga. 43, 51 (2) (e) (838 SE2d 780) (2020) (citation and </w:t>
      </w:r>
      <w:r>
        <w:rPr>
          <w:rFonts w:ascii="arial" w:eastAsia="arial" w:hAnsi="arial" w:cs="arial"/>
          <w:b w:val="0"/>
          <w:i w:val="0"/>
          <w:strike w:val="0"/>
          <w:noProof w:val="0"/>
          <w:color w:val="000000"/>
          <w:position w:val="0"/>
          <w:sz w:val="20"/>
          <w:u w:val="none"/>
          <w:vertAlign w:val="baseline"/>
        </w:rPr>
        <w:t> [**824] </w:t>
      </w:r>
      <w:r>
        <w:rPr>
          <w:rFonts w:ascii="arial" w:eastAsia="arial" w:hAnsi="arial" w:cs="arial"/>
          <w:b w:val="0"/>
          <w:i w:val="0"/>
          <w:strike w:val="0"/>
          <w:noProof w:val="0"/>
          <w:color w:val="000000"/>
          <w:position w:val="0"/>
          <w:sz w:val="20"/>
          <w:u w:val="none"/>
          <w:vertAlign w:val="baseline"/>
        </w:rPr>
        <w:t xml:space="preserve"> punctuation omitted). </w:t>
      </w:r>
      <w:bookmarkStart w:id="38" w:name="Bookmark_I695SG2428T4BN0030000400_2"/>
      <w:bookmarkEnd w:id="38"/>
      <w:bookmarkStart w:id="39" w:name="Bookmark_I695SG2428T4BN0050000400"/>
      <w:bookmarkEnd w:id="39"/>
      <w:r>
        <w:rPr>
          <w:rFonts w:ascii="arial" w:eastAsia="arial" w:hAnsi="arial" w:cs="arial"/>
          <w:b w:val="0"/>
          <w:i w:val="0"/>
          <w:strike w:val="0"/>
          <w:noProof w:val="0"/>
          <w:color w:val="000000"/>
          <w:position w:val="0"/>
          <w:sz w:val="20"/>
          <w:u w:val="none"/>
          <w:vertAlign w:val="baseline"/>
        </w:rPr>
        <w:t xml:space="preserve">Thus, the trial court did not abuse its discretion by ruling that the 2000 armed robbery was relevant to show that </w:t>
      </w:r>
      <w:r>
        <w:rPr>
          <w:rFonts w:ascii="arial" w:eastAsia="arial" w:hAnsi="arial" w:cs="arial"/>
          <w:b w:val="0"/>
          <w:i w:val="0"/>
          <w:strike w:val="0"/>
          <w:noProof w:val="0"/>
          <w:color w:val="000000"/>
          <w:position w:val="0"/>
          <w:sz w:val="20"/>
          <w:u w:val="none"/>
          <w:vertAlign w:val="baseline"/>
        </w:rPr>
        <w:t>Randolph</w:t>
      </w:r>
      <w:r>
        <w:rPr>
          <w:rFonts w:ascii="arial" w:eastAsia="arial" w:hAnsi="arial" w:cs="arial"/>
          <w:b w:val="0"/>
          <w:i w:val="0"/>
          <w:strike w:val="0"/>
          <w:noProof w:val="0"/>
          <w:color w:val="000000"/>
          <w:position w:val="0"/>
          <w:sz w:val="20"/>
          <w:u w:val="none"/>
          <w:vertAlign w:val="baseline"/>
        </w:rPr>
        <w:t xml:space="preserve"> committed the armed robbery in this case with the same intent. See </w:t>
      </w:r>
      <w:bookmarkStart w:id="40" w:name="Bookmark_I695SG2428T4BN0020000400"/>
      <w:bookmarkEnd w:id="40"/>
      <w:r>
        <w:rPr>
          <w:rFonts w:ascii="arial" w:eastAsia="arial" w:hAnsi="arial" w:cs="arial"/>
          <w:b w:val="0"/>
          <w:i/>
          <w:strike w:val="0"/>
          <w:noProof w:val="0"/>
          <w:color w:val="000000"/>
          <w:position w:val="0"/>
          <w:sz w:val="20"/>
          <w:u w:val="none"/>
          <w:vertAlign w:val="baseline"/>
        </w:rPr>
        <w:t xml:space="preserve">Olds v. </w:t>
      </w:r>
      <w:r>
        <w:rPr>
          <w:rFonts w:ascii="arial" w:eastAsia="arial" w:hAnsi="arial" w:cs="arial"/>
          <w:b w:val="0"/>
          <w:i/>
          <w:strike w:val="0"/>
          <w:noProof w:val="0"/>
          <w:color w:val="000000"/>
          <w:position w:val="0"/>
          <w:sz w:val="20"/>
          <w:u w:val="none"/>
          <w:vertAlign w:val="baseline"/>
        </w:rPr>
        <w:t>State</w:t>
      </w:r>
      <w:r>
        <w:rPr>
          <w:rFonts w:ascii="arial" w:eastAsia="arial" w:hAnsi="arial" w:cs="arial"/>
          <w:b w:val="0"/>
          <w:i w:val="0"/>
          <w:strike w:val="0"/>
          <w:noProof w:val="0"/>
          <w:color w:val="000000"/>
          <w:position w:val="0"/>
          <w:sz w:val="20"/>
          <w:u w:val="none"/>
          <w:vertAlign w:val="baseline"/>
        </w:rPr>
        <w:t xml:space="preserve">, 299 Ga. 65, 72 (2) (786 SE2d 633) (2016) (“[E]vidence that an accused committed an intentional act generally is relevant to show … that the same defendant committed a similar act with the same sort of intent[.]”). </w:t>
      </w:r>
      <w:bookmarkStart w:id="41" w:name="Bookmark_I695SG2428T4BN0050000400_2"/>
      <w:bookmarkEnd w:id="41"/>
      <w:r>
        <w:rPr>
          <w:rFonts w:ascii="arial" w:eastAsia="arial" w:hAnsi="arial" w:cs="arial"/>
          <w:b w:val="0"/>
          <w:i w:val="0"/>
          <w:strike w:val="0"/>
          <w:noProof w:val="0"/>
          <w:color w:val="000000"/>
          <w:position w:val="0"/>
          <w:sz w:val="20"/>
          <w:u w:val="none"/>
          <w:vertAlign w:val="baseline"/>
        </w:rPr>
        <w:t xml:space="preserve">See also </w:t>
      </w:r>
      <w:bookmarkStart w:id="42" w:name="Bookmark_I695SG2428T4BN0040000400"/>
      <w:bookmarkEnd w:id="42"/>
      <w:r>
        <w:rPr>
          <w:rFonts w:ascii="arial" w:eastAsia="arial" w:hAnsi="arial" w:cs="arial"/>
          <w:b w:val="0"/>
          <w:i/>
          <w:strike w:val="0"/>
          <w:noProof w:val="0"/>
          <w:color w:val="000000"/>
          <w:position w:val="0"/>
          <w:sz w:val="20"/>
          <w:u w:val="none"/>
          <w:vertAlign w:val="baseline"/>
        </w:rPr>
        <w:t xml:space="preserve">Booth v. </w:t>
      </w:r>
      <w:r>
        <w:rPr>
          <w:rFonts w:ascii="arial" w:eastAsia="arial" w:hAnsi="arial" w:cs="arial"/>
          <w:b w:val="0"/>
          <w:i/>
          <w:strike w:val="0"/>
          <w:noProof w:val="0"/>
          <w:color w:val="000000"/>
          <w:position w:val="0"/>
          <w:sz w:val="20"/>
          <w:u w:val="none"/>
          <w:vertAlign w:val="baseline"/>
        </w:rPr>
        <w:t>State</w:t>
      </w:r>
      <w:r>
        <w:rPr>
          <w:rFonts w:ascii="arial" w:eastAsia="arial" w:hAnsi="arial" w:cs="arial"/>
          <w:b w:val="0"/>
          <w:i w:val="0"/>
          <w:strike w:val="0"/>
          <w:noProof w:val="0"/>
          <w:color w:val="000000"/>
          <w:position w:val="0"/>
          <w:sz w:val="20"/>
          <w:u w:val="none"/>
          <w:vertAlign w:val="baseline"/>
        </w:rPr>
        <w:t>, 301 Ga. 678, 683 (3) (804 SE2d 104) (2017) (“[W]e may consider whether the other acts were relevant to the issue of intent on any of [the</w:t>
      </w:r>
      <w:r>
        <w:rPr>
          <w:rFonts w:ascii="arial" w:eastAsia="arial" w:hAnsi="arial" w:cs="arial"/>
          <w:b w:val="0"/>
          <w:i w:val="0"/>
          <w:strike w:val="0"/>
          <w:noProof w:val="0"/>
          <w:color w:val="000000"/>
          <w:position w:val="0"/>
          <w:sz w:val="20"/>
          <w:u w:val="none"/>
          <w:vertAlign w:val="baseline"/>
        </w:rPr>
        <w:t> [***12] </w:t>
      </w:r>
      <w:r>
        <w:rPr>
          <w:rFonts w:ascii="arial" w:eastAsia="arial" w:hAnsi="arial" w:cs="arial"/>
          <w:b w:val="0"/>
          <w:i w:val="0"/>
          <w:strike w:val="0"/>
          <w:noProof w:val="0"/>
          <w:color w:val="000000"/>
          <w:position w:val="0"/>
          <w:sz w:val="20"/>
          <w:u w:val="none"/>
          <w:vertAlign w:val="baseline"/>
        </w:rPr>
        <w:t xml:space="preserve"> charged] offenses.”).</w:t>
      </w:r>
    </w:p>
    <w:p>
      <w:pPr>
        <w:keepNext w:val="0"/>
        <w:spacing w:before="200" w:after="0" w:line="260" w:lineRule="atLeast"/>
        <w:ind w:left="0" w:right="0" w:firstLine="0"/>
        <w:jc w:val="both"/>
      </w:pPr>
      <w:bookmarkStart w:id="43" w:name="Bookmark_I695SG252D6NV30020000400"/>
      <w:bookmarkEnd w:id="43"/>
      <w:bookmarkStart w:id="44" w:name="Bookmark_LNHNREFclscc4"/>
      <w:bookmarkEnd w:id="44"/>
      <w:r>
        <w:rPr>
          <w:rFonts w:ascii="arial" w:eastAsia="arial" w:hAnsi="arial" w:cs="arial"/>
          <w:b w:val="0"/>
          <w:i w:val="0"/>
          <w:strike w:val="0"/>
          <w:noProof w:val="0"/>
          <w:color w:val="000000"/>
          <w:position w:val="0"/>
          <w:sz w:val="20"/>
          <w:u w:val="none"/>
          <w:vertAlign w:val="baseline"/>
        </w:rPr>
        <w:t xml:space="preserve">And “in evaluating the probative value of other-acts evidence offered to prove intent, we consider the overall similarity between the other acts and the charged crimes, the other act's temporal remoteness, and the prosecutorial need for the evidence.” </w:t>
      </w:r>
      <w:bookmarkStart w:id="45" w:name="Bookmark_I695SG252D6NV30010000400"/>
      <w:bookmarkEnd w:id="45"/>
      <w:r>
        <w:rPr>
          <w:rFonts w:ascii="arial" w:eastAsia="arial" w:hAnsi="arial" w:cs="arial"/>
          <w:b w:val="0"/>
          <w:i/>
          <w:strike w:val="0"/>
          <w:noProof w:val="0"/>
          <w:color w:val="000000"/>
          <w:position w:val="0"/>
          <w:sz w:val="20"/>
          <w:u w:val="none"/>
          <w:vertAlign w:val="baseline"/>
        </w:rPr>
        <w:t xml:space="preserve">Thomas v. </w:t>
      </w:r>
      <w:r>
        <w:rPr>
          <w:rFonts w:ascii="arial" w:eastAsia="arial" w:hAnsi="arial" w:cs="arial"/>
          <w:b w:val="0"/>
          <w:i/>
          <w:strike w:val="0"/>
          <w:noProof w:val="0"/>
          <w:color w:val="000000"/>
          <w:position w:val="0"/>
          <w:sz w:val="20"/>
          <w:u w:val="none"/>
          <w:vertAlign w:val="baseline"/>
        </w:rPr>
        <w:t>State</w:t>
      </w:r>
      <w:r>
        <w:rPr>
          <w:rFonts w:ascii="arial" w:eastAsia="arial" w:hAnsi="arial" w:cs="arial"/>
          <w:b w:val="0"/>
          <w:i w:val="0"/>
          <w:strike w:val="0"/>
          <w:noProof w:val="0"/>
          <w:color w:val="000000"/>
          <w:position w:val="0"/>
          <w:sz w:val="20"/>
          <w:u w:val="none"/>
          <w:vertAlign w:val="baseline"/>
        </w:rPr>
        <w:t xml:space="preserve">, 314 Ga. 681, 684 (1) (a) (878 SE2d 493) (2022). </w:t>
      </w:r>
      <w:r>
        <w:rPr>
          <w:rFonts w:ascii="arial" w:eastAsia="arial" w:hAnsi="arial" w:cs="arial"/>
          <w:b w:val="0"/>
          <w:i w:val="0"/>
          <w:strike w:val="0"/>
          <w:noProof w:val="0"/>
          <w:color w:val="000000"/>
          <w:position w:val="0"/>
          <w:sz w:val="20"/>
          <w:u w:val="none"/>
          <w:vertAlign w:val="baseline"/>
        </w:rPr>
        <w:t>Randolph</w:t>
      </w:r>
      <w:r>
        <w:rPr>
          <w:rFonts w:ascii="arial" w:eastAsia="arial" w:hAnsi="arial" w:cs="arial"/>
          <w:b w:val="0"/>
          <w:i w:val="0"/>
          <w:strike w:val="0"/>
          <w:noProof w:val="0"/>
          <w:color w:val="000000"/>
          <w:position w:val="0"/>
          <w:sz w:val="20"/>
          <w:u w:val="none"/>
          <w:vertAlign w:val="baseline"/>
        </w:rPr>
        <w:t xml:space="preserve"> focuses on the alleged dissimilarities between the 2000 armed robbery and the armed robbery in this case to argue that the probative value of the other-acts evidence was substantially outweighed by its unfair prejudice. </w:t>
      </w:r>
      <w:bookmarkStart w:id="46" w:name="Bookmark_I695SG252D6NV30040000400"/>
      <w:bookmarkEnd w:id="46"/>
      <w:r>
        <w:rPr>
          <w:rFonts w:ascii="arial" w:eastAsia="arial" w:hAnsi="arial" w:cs="arial"/>
          <w:b w:val="0"/>
          <w:i w:val="0"/>
          <w:strike w:val="0"/>
          <w:noProof w:val="0"/>
          <w:color w:val="000000"/>
          <w:position w:val="0"/>
          <w:sz w:val="20"/>
          <w:u w:val="none"/>
          <w:vertAlign w:val="baseline"/>
        </w:rPr>
        <w:t xml:space="preserve">However, in both incidents </w:t>
      </w:r>
      <w:r>
        <w:rPr>
          <w:rFonts w:ascii="arial" w:eastAsia="arial" w:hAnsi="arial" w:cs="arial"/>
          <w:b w:val="0"/>
          <w:i w:val="0"/>
          <w:strike w:val="0"/>
          <w:noProof w:val="0"/>
          <w:color w:val="000000"/>
          <w:position w:val="0"/>
          <w:sz w:val="20"/>
          <w:u w:val="none"/>
          <w:vertAlign w:val="baseline"/>
        </w:rPr>
        <w:t>Randolph</w:t>
      </w:r>
      <w:r>
        <w:rPr>
          <w:rFonts w:ascii="arial" w:eastAsia="arial" w:hAnsi="arial" w:cs="arial"/>
          <w:b w:val="0"/>
          <w:i w:val="0"/>
          <w:strike w:val="0"/>
          <w:noProof w:val="0"/>
          <w:color w:val="000000"/>
          <w:position w:val="0"/>
          <w:sz w:val="20"/>
          <w:u w:val="none"/>
          <w:vertAlign w:val="baseline"/>
        </w:rPr>
        <w:t xml:space="preserve"> robbed a business at night by vaulting over the counter to confront the employee with a small handgun and asking about a safe. And the two events occurred only three days apart. </w:t>
      </w:r>
      <w:bookmarkStart w:id="47" w:name="Bookmark_I695SG252D6NV30040000400_2"/>
      <w:bookmarkEnd w:id="47"/>
      <w:r>
        <w:rPr>
          <w:rFonts w:ascii="arial" w:eastAsia="arial" w:hAnsi="arial" w:cs="arial"/>
          <w:b w:val="0"/>
          <w:i w:val="0"/>
          <w:strike w:val="0"/>
          <w:noProof w:val="0"/>
          <w:color w:val="000000"/>
          <w:position w:val="0"/>
          <w:sz w:val="20"/>
          <w:u w:val="none"/>
          <w:vertAlign w:val="baseline"/>
        </w:rPr>
        <w:t>These similarities and temporal proximity</w:t>
      </w:r>
      <w:r>
        <w:rPr>
          <w:rFonts w:ascii="arial" w:eastAsia="arial" w:hAnsi="arial" w:cs="arial"/>
          <w:b w:val="0"/>
          <w:i w:val="0"/>
          <w:strike w:val="0"/>
          <w:noProof w:val="0"/>
          <w:color w:val="000000"/>
          <w:position w:val="0"/>
          <w:sz w:val="20"/>
          <w:u w:val="none"/>
          <w:vertAlign w:val="baseline"/>
        </w:rPr>
        <w:t> [*153] </w:t>
      </w:r>
      <w:r>
        <w:rPr>
          <w:rFonts w:ascii="arial" w:eastAsia="arial" w:hAnsi="arial" w:cs="arial"/>
          <w:b w:val="0"/>
          <w:i w:val="0"/>
          <w:strike w:val="0"/>
          <w:noProof w:val="0"/>
          <w:color w:val="000000"/>
          <w:position w:val="0"/>
          <w:sz w:val="20"/>
          <w:u w:val="none"/>
          <w:vertAlign w:val="baseline"/>
        </w:rPr>
        <w:t xml:space="preserve"> between the two robberies demonstrate that the probative value of the 2000 armed robbery evidence to prove </w:t>
      </w:r>
      <w:r>
        <w:rPr>
          <w:rFonts w:ascii="arial" w:eastAsia="arial" w:hAnsi="arial" w:cs="arial"/>
          <w:b w:val="0"/>
          <w:i w:val="0"/>
          <w:strike w:val="0"/>
          <w:noProof w:val="0"/>
          <w:color w:val="000000"/>
          <w:position w:val="0"/>
          <w:sz w:val="20"/>
          <w:u w:val="none"/>
          <w:vertAlign w:val="baseline"/>
        </w:rPr>
        <w:t>Randolph</w:t>
      </w:r>
      <w:r>
        <w:rPr>
          <w:rFonts w:ascii="arial" w:eastAsia="arial" w:hAnsi="arial" w:cs="arial"/>
          <w:b w:val="0"/>
          <w:i w:val="0"/>
          <w:strike w:val="0"/>
          <w:noProof w:val="0"/>
          <w:color w:val="000000"/>
          <w:position w:val="0"/>
          <w:sz w:val="20"/>
          <w:u w:val="none"/>
          <w:vertAlign w:val="baseline"/>
        </w:rPr>
        <w:t xml:space="preserve">'s intent to commit the armed robbery in this case was significant. See, e.g., </w:t>
      </w:r>
      <w:bookmarkStart w:id="48" w:name="Bookmark_I695SG252D6NV30030000400"/>
      <w:bookmarkEnd w:id="48"/>
      <w:r>
        <w:rPr>
          <w:rFonts w:ascii="arial" w:eastAsia="arial" w:hAnsi="arial" w:cs="arial"/>
          <w:b w:val="0"/>
          <w:i/>
          <w:strike w:val="0"/>
          <w:noProof w:val="0"/>
          <w:color w:val="000000"/>
          <w:position w:val="0"/>
          <w:sz w:val="20"/>
          <w:u w:val="none"/>
          <w:vertAlign w:val="baseline"/>
        </w:rPr>
        <w:t>Hood</w:t>
      </w:r>
      <w:r>
        <w:rPr>
          <w:rFonts w:ascii="arial" w:eastAsia="arial" w:hAnsi="arial" w:cs="arial"/>
          <w:b w:val="0"/>
          <w:i w:val="0"/>
          <w:strike w:val="0"/>
          <w:noProof w:val="0"/>
          <w:color w:val="000000"/>
          <w:position w:val="0"/>
          <w:sz w:val="20"/>
          <w:u w:val="none"/>
          <w:vertAlign w:val="baseline"/>
        </w:rPr>
        <w:t>, 309 Ga. at 501 (2) (evidence of other robbery was probative of defendant's intent to participate in charged crimes of felony murder predicated on armed robbery, aggravated assault, and related crimes because of, inter alia, similarities between the incidents, which</w:t>
      </w:r>
      <w:r>
        <w:rPr>
          <w:rFonts w:ascii="arial" w:eastAsia="arial" w:hAnsi="arial" w:cs="arial"/>
          <w:b w:val="0"/>
          <w:i w:val="0"/>
          <w:strike w:val="0"/>
          <w:noProof w:val="0"/>
          <w:color w:val="000000"/>
          <w:position w:val="0"/>
          <w:sz w:val="20"/>
          <w:u w:val="none"/>
          <w:vertAlign w:val="baseline"/>
        </w:rPr>
        <w:t> [***13] </w:t>
      </w:r>
      <w:r>
        <w:rPr>
          <w:rFonts w:ascii="arial" w:eastAsia="arial" w:hAnsi="arial" w:cs="arial"/>
          <w:b w:val="0"/>
          <w:i w:val="0"/>
          <w:strike w:val="0"/>
          <w:noProof w:val="0"/>
          <w:color w:val="000000"/>
          <w:position w:val="0"/>
          <w:sz w:val="20"/>
          <w:u w:val="none"/>
          <w:vertAlign w:val="baseline"/>
        </w:rPr>
        <w:t xml:space="preserve"> occurred less than four months apart from one another); </w:t>
      </w:r>
      <w:bookmarkStart w:id="49" w:name="Bookmark_I695SG252D6NV30050000400"/>
      <w:bookmarkEnd w:id="49"/>
      <w:r>
        <w:rPr>
          <w:rFonts w:ascii="arial" w:eastAsia="arial" w:hAnsi="arial" w:cs="arial"/>
          <w:b w:val="0"/>
          <w:i/>
          <w:strike w:val="0"/>
          <w:noProof w:val="0"/>
          <w:color w:val="000000"/>
          <w:position w:val="0"/>
          <w:sz w:val="20"/>
          <w:u w:val="none"/>
          <w:vertAlign w:val="baseline"/>
        </w:rPr>
        <w:t xml:space="preserve">Fleming v. </w:t>
      </w:r>
      <w:r>
        <w:rPr>
          <w:rFonts w:ascii="arial" w:eastAsia="arial" w:hAnsi="arial" w:cs="arial"/>
          <w:b w:val="0"/>
          <w:i/>
          <w:strike w:val="0"/>
          <w:noProof w:val="0"/>
          <w:color w:val="000000"/>
          <w:position w:val="0"/>
          <w:sz w:val="20"/>
          <w:u w:val="none"/>
          <w:vertAlign w:val="baseline"/>
        </w:rPr>
        <w:t>State</w:t>
      </w:r>
      <w:r>
        <w:rPr>
          <w:rFonts w:ascii="arial" w:eastAsia="arial" w:hAnsi="arial" w:cs="arial"/>
          <w:b w:val="0"/>
          <w:i w:val="0"/>
          <w:strike w:val="0"/>
          <w:noProof w:val="0"/>
          <w:color w:val="000000"/>
          <w:position w:val="0"/>
          <w:sz w:val="20"/>
          <w:u w:val="none"/>
          <w:vertAlign w:val="baseline"/>
        </w:rPr>
        <w:t>, 306 Ga. 240, 248 (3) (b) (830 SE2d 129) (2019) (the other-acts evidence had a high probative value because, inter alia, the other act had significant similarities and occurred within less than one year of the charged crimes).</w:t>
      </w:r>
    </w:p>
    <w:p>
      <w:pPr>
        <w:keepNext w:val="0"/>
        <w:spacing w:before="200" w:after="0" w:line="260" w:lineRule="atLeast"/>
        <w:ind w:left="0" w:right="0" w:firstLine="0"/>
        <w:jc w:val="both"/>
      </w:pPr>
      <w:bookmarkStart w:id="50" w:name="Bookmark_I695SG252D6NV40030000400"/>
      <w:bookmarkEnd w:id="50"/>
      <w:r>
        <w:rPr>
          <w:rFonts w:ascii="arial" w:eastAsia="arial" w:hAnsi="arial" w:cs="arial"/>
          <w:b w:val="0"/>
          <w:i w:val="0"/>
          <w:strike w:val="0"/>
          <w:noProof w:val="0"/>
          <w:color w:val="000000"/>
          <w:position w:val="0"/>
          <w:sz w:val="20"/>
          <w:u w:val="none"/>
          <w:vertAlign w:val="baseline"/>
        </w:rPr>
        <w:t xml:space="preserve">Although the evidence of the 2000 armed robbery was certainly prejudicial to </w:t>
      </w:r>
      <w:r>
        <w:rPr>
          <w:rFonts w:ascii="arial" w:eastAsia="arial" w:hAnsi="arial" w:cs="arial"/>
          <w:b w:val="0"/>
          <w:i w:val="0"/>
          <w:strike w:val="0"/>
          <w:noProof w:val="0"/>
          <w:color w:val="000000"/>
          <w:position w:val="0"/>
          <w:sz w:val="20"/>
          <w:u w:val="none"/>
          <w:vertAlign w:val="baseline"/>
        </w:rPr>
        <w:t>Randolph</w:t>
      </w:r>
      <w:r>
        <w:rPr>
          <w:rFonts w:ascii="arial" w:eastAsia="arial" w:hAnsi="arial" w:cs="arial"/>
          <w:b w:val="0"/>
          <w:i w:val="0"/>
          <w:strike w:val="0"/>
          <w:noProof w:val="0"/>
          <w:color w:val="000000"/>
          <w:position w:val="0"/>
          <w:sz w:val="20"/>
          <w:u w:val="none"/>
          <w:vertAlign w:val="baseline"/>
        </w:rPr>
        <w:t xml:space="preserve">, its prejudicial value was fairly low, given that no one was physically harmed in the course of the robbery, and moreover, </w:t>
      </w:r>
      <w:bookmarkStart w:id="51" w:name="Bookmark_LNHNREFclscc5"/>
      <w:bookmarkEnd w:id="51"/>
      <w:r>
        <w:rPr>
          <w:rFonts w:ascii="arial" w:eastAsia="arial" w:hAnsi="arial" w:cs="arial"/>
          <w:b w:val="0"/>
          <w:i w:val="0"/>
          <w:strike w:val="0"/>
          <w:noProof w:val="0"/>
          <w:color w:val="000000"/>
          <w:position w:val="0"/>
          <w:sz w:val="20"/>
          <w:u w:val="none"/>
          <w:vertAlign w:val="baseline"/>
        </w:rPr>
        <w:t xml:space="preserve">Rule 403 requires the balancing of the probative value of the evidence against the danger of </w:t>
      </w:r>
      <w:r>
        <w:rPr>
          <w:rFonts w:ascii="arial" w:eastAsia="arial" w:hAnsi="arial" w:cs="arial"/>
          <w:b w:val="0"/>
          <w:i/>
          <w:strike w:val="0"/>
          <w:noProof w:val="0"/>
          <w:color w:val="000000"/>
          <w:position w:val="0"/>
          <w:sz w:val="20"/>
          <w:u w:val="none"/>
          <w:vertAlign w:val="baseline"/>
        </w:rPr>
        <w:t>unfair</w:t>
      </w:r>
      <w:r>
        <w:rPr>
          <w:rFonts w:ascii="arial" w:eastAsia="arial" w:hAnsi="arial" w:cs="arial"/>
          <w:b w:val="0"/>
          <w:i w:val="0"/>
          <w:strike w:val="0"/>
          <w:noProof w:val="0"/>
          <w:color w:val="000000"/>
          <w:position w:val="0"/>
          <w:sz w:val="20"/>
          <w:u w:val="none"/>
          <w:vertAlign w:val="baseline"/>
        </w:rPr>
        <w:t xml:space="preserve"> prejudice. “Rule 403's exclusionary force is meant to be applied sparingly — primarily when the other-acts evidence has scant or cumulative probative force, dragged in by the heels for the sake of its prejudicial effect.” </w:t>
      </w:r>
      <w:bookmarkStart w:id="52" w:name="Bookmark_I695SG252D6NV40020000400"/>
      <w:bookmarkEnd w:id="52"/>
      <w:r>
        <w:rPr>
          <w:rFonts w:ascii="arial" w:eastAsia="arial" w:hAnsi="arial" w:cs="arial"/>
          <w:b w:val="0"/>
          <w:i/>
          <w:strike w:val="0"/>
          <w:noProof w:val="0"/>
          <w:color w:val="000000"/>
          <w:position w:val="0"/>
          <w:sz w:val="20"/>
          <w:u w:val="none"/>
          <w:vertAlign w:val="baseline"/>
        </w:rPr>
        <w:t xml:space="preserve">Hounkpatin v. </w:t>
      </w:r>
      <w:r>
        <w:rPr>
          <w:rFonts w:ascii="arial" w:eastAsia="arial" w:hAnsi="arial" w:cs="arial"/>
          <w:b w:val="0"/>
          <w:i/>
          <w:strike w:val="0"/>
          <w:noProof w:val="0"/>
          <w:color w:val="000000"/>
          <w:position w:val="0"/>
          <w:sz w:val="20"/>
          <w:u w:val="none"/>
          <w:vertAlign w:val="baseline"/>
        </w:rPr>
        <w:t>State</w:t>
      </w:r>
      <w:r>
        <w:rPr>
          <w:rFonts w:ascii="arial" w:eastAsia="arial" w:hAnsi="arial" w:cs="arial"/>
          <w:b w:val="0"/>
          <w:i w:val="0"/>
          <w:strike w:val="0"/>
          <w:noProof w:val="0"/>
          <w:color w:val="000000"/>
          <w:position w:val="0"/>
          <w:sz w:val="20"/>
          <w:u w:val="none"/>
          <w:vertAlign w:val="baseline"/>
        </w:rPr>
        <w:t xml:space="preserve">, 313 Ga. 789, 796 (2) (a) (873 SE2d 201) (2022) (citation and punctuation omitted). </w:t>
      </w:r>
      <w:bookmarkStart w:id="53" w:name="Bookmark_I695SG252D6NV40050000400"/>
      <w:bookmarkEnd w:id="53"/>
      <w:r>
        <w:rPr>
          <w:rFonts w:ascii="arial" w:eastAsia="arial" w:hAnsi="arial" w:cs="arial"/>
          <w:b w:val="0"/>
          <w:i w:val="0"/>
          <w:strike w:val="0"/>
          <w:noProof w:val="0"/>
          <w:color w:val="000000"/>
          <w:position w:val="0"/>
          <w:sz w:val="20"/>
          <w:u w:val="none"/>
          <w:vertAlign w:val="baseline"/>
        </w:rPr>
        <w:t xml:space="preserve">Given the probative value of the other-acts evidence here weighed against the relatively low danger of unfair prejudice, the trial court did not abuse its discretion in admitting evidence of the 2000 armed robbery. </w:t>
      </w:r>
      <w:bookmarkStart w:id="54" w:name="Bookmark_I695SG252D6NV40050000400_2"/>
      <w:bookmarkEnd w:id="54"/>
      <w:r>
        <w:rPr>
          <w:rFonts w:ascii="arial" w:eastAsia="arial" w:hAnsi="arial" w:cs="arial"/>
          <w:b w:val="0"/>
          <w:i w:val="0"/>
          <w:strike w:val="0"/>
          <w:noProof w:val="0"/>
          <w:color w:val="000000"/>
          <w:position w:val="0"/>
          <w:sz w:val="20"/>
          <w:u w:val="none"/>
          <w:vertAlign w:val="baseline"/>
        </w:rPr>
        <w:t xml:space="preserve">See id. Having determined that the evidence was admissible as to intent, we need not examine whether it was also admissible as to motive, plan, or modus operandi. See </w:t>
      </w:r>
      <w:bookmarkStart w:id="55" w:name="Bookmark_I695SG252D6NV40040000400"/>
      <w:bookmarkEnd w:id="55"/>
      <w:r>
        <w:rPr>
          <w:rFonts w:ascii="arial" w:eastAsia="arial" w:hAnsi="arial" w:cs="arial"/>
          <w:b w:val="0"/>
          <w:i/>
          <w:strike w:val="0"/>
          <w:noProof w:val="0"/>
          <w:color w:val="000000"/>
          <w:position w:val="0"/>
          <w:sz w:val="20"/>
          <w:u w:val="none"/>
          <w:vertAlign w:val="baseline"/>
        </w:rPr>
        <w:t xml:space="preserve">Bradshaw v. </w:t>
      </w:r>
      <w:r>
        <w:rPr>
          <w:rFonts w:ascii="arial" w:eastAsia="arial" w:hAnsi="arial" w:cs="arial"/>
          <w:b w:val="0"/>
          <w:i/>
          <w:strike w:val="0"/>
          <w:noProof w:val="0"/>
          <w:color w:val="000000"/>
          <w:position w:val="0"/>
          <w:sz w:val="20"/>
          <w:u w:val="none"/>
          <w:vertAlign w:val="baseline"/>
        </w:rPr>
        <w:t>State</w:t>
      </w:r>
      <w:r>
        <w:rPr>
          <w:rFonts w:ascii="arial" w:eastAsia="arial" w:hAnsi="arial" w:cs="arial"/>
          <w:b w:val="0"/>
          <w:i w:val="0"/>
          <w:strike w:val="0"/>
          <w:noProof w:val="0"/>
          <w:color w:val="000000"/>
          <w:position w:val="0"/>
          <w:sz w:val="20"/>
          <w:u w:val="none"/>
          <w:vertAlign w:val="baseline"/>
        </w:rPr>
        <w:t>, 296 Ga. 650, 657 (3) n.5 (769 SE2d 892) (2015).</w:t>
      </w:r>
      <w:r>
        <w:rPr>
          <w:rFonts w:ascii="arial" w:eastAsia="arial" w:hAnsi="arial" w:cs="arial"/>
          <w:vertAlign w:val="superscript"/>
        </w:rPr>
        <w:footnoteReference w:customMarkFollows="1" w:id="9"/>
        <w:t xml:space="preserve">8</w:t>
      </w:r>
    </w:p>
    <w:p>
      <w:pPr>
        <w:keepNext w:val="0"/>
        <w:spacing w:before="200" w:after="0" w:line="260" w:lineRule="atLeast"/>
        <w:ind w:left="0" w:right="0" w:firstLine="0"/>
        <w:jc w:val="both"/>
      </w:pPr>
      <w:bookmarkStart w:id="57" w:name="Bookmark__3"/>
      <w:bookmarkEnd w:id="57"/>
      <w:r>
        <w:rPr>
          <w:rFonts w:ascii="arial" w:eastAsia="arial" w:hAnsi="arial" w:cs="arial"/>
          <w:b w:val="0"/>
          <w:i w:val="0"/>
          <w:strike w:val="0"/>
          <w:noProof w:val="0"/>
          <w:color w:val="000000"/>
          <w:position w:val="0"/>
          <w:sz w:val="20"/>
          <w:u w:val="none"/>
          <w:vertAlign w:val="baseline"/>
        </w:rPr>
        <w:t xml:space="preserve">(3) </w:t>
      </w:r>
      <w:bookmarkStart w:id="58" w:name="Bookmark_I695SG262HM6T90020000400"/>
      <w:bookmarkEnd w:id="58"/>
      <w:r>
        <w:rPr>
          <w:rFonts w:ascii="arial" w:eastAsia="arial" w:hAnsi="arial" w:cs="arial"/>
          <w:b w:val="0"/>
          <w:i w:val="0"/>
          <w:strike w:val="0"/>
          <w:noProof w:val="0"/>
          <w:color w:val="000000"/>
          <w:position w:val="0"/>
          <w:sz w:val="20"/>
          <w:u w:val="none"/>
          <w:vertAlign w:val="baseline"/>
        </w:rPr>
        <w:t xml:space="preserve">(b) On appeal, the </w:t>
      </w:r>
      <w:r>
        <w:rPr>
          <w:rFonts w:ascii="arial" w:eastAsia="arial" w:hAnsi="arial" w:cs="arial"/>
          <w:b w:val="0"/>
          <w:i w:val="0"/>
          <w:strike w:val="0"/>
          <w:noProof w:val="0"/>
          <w:color w:val="000000"/>
          <w:position w:val="0"/>
          <w:sz w:val="20"/>
          <w:u w:val="none"/>
          <w:vertAlign w:val="baseline"/>
        </w:rPr>
        <w:t>State</w:t>
      </w:r>
      <w:r>
        <w:rPr>
          <w:rFonts w:ascii="arial" w:eastAsia="arial" w:hAnsi="arial" w:cs="arial"/>
          <w:b w:val="0"/>
          <w:i w:val="0"/>
          <w:strike w:val="0"/>
          <w:noProof w:val="0"/>
          <w:color w:val="000000"/>
          <w:position w:val="0"/>
          <w:sz w:val="20"/>
          <w:u w:val="none"/>
          <w:vertAlign w:val="baseline"/>
        </w:rPr>
        <w:t xml:space="preserve"> concedes</w:t>
      </w:r>
      <w:r>
        <w:rPr>
          <w:rFonts w:ascii="arial" w:eastAsia="arial" w:hAnsi="arial" w:cs="arial"/>
          <w:b w:val="0"/>
          <w:i w:val="0"/>
          <w:strike w:val="0"/>
          <w:noProof w:val="0"/>
          <w:color w:val="000000"/>
          <w:position w:val="0"/>
          <w:sz w:val="20"/>
          <w:u w:val="none"/>
          <w:vertAlign w:val="baseline"/>
        </w:rPr>
        <w:t> [***14] </w:t>
      </w:r>
      <w:r>
        <w:rPr>
          <w:rFonts w:ascii="arial" w:eastAsia="arial" w:hAnsi="arial" w:cs="arial"/>
          <w:b w:val="0"/>
          <w:i w:val="0"/>
          <w:strike w:val="0"/>
          <w:noProof w:val="0"/>
          <w:color w:val="000000"/>
          <w:position w:val="0"/>
          <w:sz w:val="20"/>
          <w:u w:val="none"/>
          <w:vertAlign w:val="baseline"/>
        </w:rPr>
        <w:t xml:space="preserve"> that the 2011 home burglary should not have been admitted under Rule 404 (b). </w:t>
      </w:r>
      <w:bookmarkStart w:id="59" w:name="Bookmark_I695SG262HM6T90040000400"/>
      <w:bookmarkEnd w:id="59"/>
      <w:bookmarkStart w:id="60" w:name="Bookmark_LNHNREFclscc6"/>
      <w:bookmarkEnd w:id="60"/>
      <w:r>
        <w:rPr>
          <w:rFonts w:ascii="arial" w:eastAsia="arial" w:hAnsi="arial" w:cs="arial"/>
          <w:b w:val="0"/>
          <w:i w:val="0"/>
          <w:strike w:val="0"/>
          <w:noProof w:val="0"/>
          <w:color w:val="000000"/>
          <w:position w:val="0"/>
          <w:sz w:val="20"/>
          <w:u w:val="none"/>
          <w:vertAlign w:val="baseline"/>
        </w:rPr>
        <w:t xml:space="preserve">Assuming without deciding that the trial court abused its discretion in admitting evidence of the 2011 home burglary, this evidentiary error warrants reversal only if it was harmful. See </w:t>
      </w:r>
      <w:bookmarkStart w:id="61" w:name="Bookmark_I695SG262HM6T90010000400"/>
      <w:bookmarkEnd w:id="61"/>
      <w:r>
        <w:rPr>
          <w:rFonts w:ascii="arial" w:eastAsia="arial" w:hAnsi="arial" w:cs="arial"/>
          <w:b w:val="0"/>
          <w:i/>
          <w:strike w:val="0"/>
          <w:noProof w:val="0"/>
          <w:color w:val="000000"/>
          <w:position w:val="0"/>
          <w:sz w:val="20"/>
          <w:u w:val="none"/>
          <w:vertAlign w:val="baseline"/>
        </w:rPr>
        <w:t xml:space="preserve">Morrell v. </w:t>
      </w:r>
      <w:r>
        <w:rPr>
          <w:rFonts w:ascii="arial" w:eastAsia="arial" w:hAnsi="arial" w:cs="arial"/>
          <w:b w:val="0"/>
          <w:i/>
          <w:strike w:val="0"/>
          <w:noProof w:val="0"/>
          <w:color w:val="000000"/>
          <w:position w:val="0"/>
          <w:sz w:val="20"/>
          <w:u w:val="none"/>
          <w:vertAlign w:val="baseline"/>
        </w:rPr>
        <w:t>State</w:t>
      </w:r>
      <w:r>
        <w:rPr>
          <w:rFonts w:ascii="arial" w:eastAsia="arial" w:hAnsi="arial" w:cs="arial"/>
          <w:b w:val="0"/>
          <w:i w:val="0"/>
          <w:strike w:val="0"/>
          <w:noProof w:val="0"/>
          <w:color w:val="000000"/>
          <w:position w:val="0"/>
          <w:sz w:val="20"/>
          <w:u w:val="none"/>
          <w:vertAlign w:val="baseline"/>
        </w:rPr>
        <w:t xml:space="preserve">, 313 Ga. 247, 261 (2) (c) (869 SE2d 447) (2022) (“It is fundamental that harm as well as error must be shown for reversal.”). </w:t>
      </w:r>
      <w:bookmarkStart w:id="62" w:name="Bookmark_I695SG262HM6T90040000400_2"/>
      <w:bookmarkEnd w:id="62"/>
      <w:r>
        <w:rPr>
          <w:rFonts w:ascii="arial" w:eastAsia="arial" w:hAnsi="arial" w:cs="arial"/>
          <w:b w:val="0"/>
          <w:i w:val="0"/>
          <w:strike w:val="0"/>
          <w:noProof w:val="0"/>
          <w:color w:val="000000"/>
          <w:position w:val="0"/>
          <w:sz w:val="20"/>
          <w:u w:val="none"/>
          <w:vertAlign w:val="baseline"/>
        </w:rPr>
        <w:t xml:space="preserve">“The test for determining nonconstitutional harmless error is whether it is highly probable that the error did not contribute to the verdict.” </w:t>
      </w:r>
      <w:bookmarkStart w:id="63" w:name="Bookmark_I695SG262HM6T90030000400"/>
      <w:bookmarkEnd w:id="63"/>
      <w:r>
        <w:rPr>
          <w:rFonts w:ascii="arial" w:eastAsia="arial" w:hAnsi="arial" w:cs="arial"/>
          <w:b w:val="0"/>
          <w:i/>
          <w:strike w:val="0"/>
          <w:noProof w:val="0"/>
          <w:color w:val="000000"/>
          <w:position w:val="0"/>
          <w:sz w:val="20"/>
          <w:u w:val="none"/>
          <w:vertAlign w:val="baseline"/>
        </w:rPr>
        <w:t>Thomas</w:t>
      </w:r>
      <w:r>
        <w:rPr>
          <w:rFonts w:ascii="arial" w:eastAsia="arial" w:hAnsi="arial" w:cs="arial"/>
          <w:b w:val="0"/>
          <w:i w:val="0"/>
          <w:strike w:val="0"/>
          <w:noProof w:val="0"/>
          <w:color w:val="000000"/>
          <w:position w:val="0"/>
          <w:sz w:val="20"/>
          <w:u w:val="none"/>
          <w:vertAlign w:val="baseline"/>
        </w:rPr>
        <w:t>, 314 Ga. at 686 (1) (c) (citation and punctuation omitted). In making this determination, “we review the record de novo, and we weigh the evidence as we</w:t>
      </w:r>
      <w:r>
        <w:rPr>
          <w:rFonts w:ascii="arial" w:eastAsia="arial" w:hAnsi="arial" w:cs="arial"/>
          <w:b w:val="0"/>
          <w:i w:val="0"/>
          <w:strike w:val="0"/>
          <w:noProof w:val="0"/>
          <w:color w:val="000000"/>
          <w:position w:val="0"/>
          <w:sz w:val="20"/>
          <w:u w:val="none"/>
          <w:vertAlign w:val="baseline"/>
        </w:rPr>
        <w:t> [*154] </w:t>
      </w:r>
      <w:r>
        <w:rPr>
          <w:rFonts w:ascii="arial" w:eastAsia="arial" w:hAnsi="arial" w:cs="arial"/>
          <w:b w:val="0"/>
          <w:i w:val="0"/>
          <w:strike w:val="0"/>
          <w:noProof w:val="0"/>
          <w:color w:val="000000"/>
          <w:position w:val="0"/>
          <w:sz w:val="20"/>
          <w:u w:val="none"/>
          <w:vertAlign w:val="baseline"/>
        </w:rPr>
        <w:t xml:space="preserve"> would expect reasonable jurors to have done so as opposed to viewing it all in the light most favorable to the jury's verdict.” Id. (citation and punctuation omitted).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[**825] </w:t>
      </w:r>
      <w:r>
        <w:rPr>
          <w:rFonts w:ascii="arial" w:eastAsia="arial" w:hAnsi="arial" w:cs="arial"/>
          <w:b w:val="0"/>
          <w:i w:val="0"/>
          <w:strike w:val="0"/>
          <w:noProof w:val="0"/>
          <w:color w:val="000000"/>
          <w:position w:val="0"/>
          <w:sz w:val="20"/>
          <w:u w:val="none"/>
          <w:vertAlign w:val="baseline"/>
        </w:rPr>
        <w:t xml:space="preserve"> </w:t>
      </w:r>
      <w:bookmarkStart w:id="64" w:name="Bookmark_I695SG262N1RMJ0010000400"/>
      <w:bookmarkEnd w:id="64"/>
      <w:bookmarkStart w:id="65" w:name="Bookmark_I695SG262N1RMJ0050000400"/>
      <w:bookmarkEnd w:id="65"/>
      <w:r>
        <w:rPr>
          <w:rFonts w:ascii="arial" w:eastAsia="arial" w:hAnsi="arial" w:cs="arial"/>
          <w:b w:val="0"/>
          <w:i w:val="0"/>
          <w:strike w:val="0"/>
          <w:noProof w:val="0"/>
          <w:color w:val="000000"/>
          <w:position w:val="0"/>
          <w:sz w:val="20"/>
          <w:u w:val="none"/>
          <w:vertAlign w:val="baseline"/>
        </w:rPr>
        <w:t>Here, several witnesses gave relatively brief testimony about the incident that was not especially prejudicial, given that, again, no one was physically harmed in the course of the burglary,</w:t>
      </w:r>
      <w:r>
        <w:rPr>
          <w:rFonts w:ascii="arial" w:eastAsia="arial" w:hAnsi="arial" w:cs="arial"/>
          <w:vertAlign w:val="superscript"/>
        </w:rPr>
        <w:footnoteReference w:customMarkFollows="1" w:id="10"/>
        <w:t xml:space="preserve">9</w:t>
      </w:r>
      <w:r>
        <w:rPr>
          <w:rFonts w:ascii="arial" w:eastAsia="arial" w:hAnsi="arial" w:cs="arial"/>
          <w:b w:val="0"/>
          <w:i w:val="0"/>
          <w:strike w:val="0"/>
          <w:noProof w:val="0"/>
          <w:color w:val="000000"/>
          <w:position w:val="0"/>
          <w:sz w:val="20"/>
          <w:u w:val="none"/>
          <w:vertAlign w:val="baseline"/>
        </w:rPr>
        <w:t xml:space="preserve"> and the </w:t>
      </w:r>
      <w:r>
        <w:rPr>
          <w:rFonts w:ascii="arial" w:eastAsia="arial" w:hAnsi="arial" w:cs="arial"/>
          <w:b w:val="0"/>
          <w:i w:val="0"/>
          <w:strike w:val="0"/>
          <w:noProof w:val="0"/>
          <w:color w:val="000000"/>
          <w:position w:val="0"/>
          <w:sz w:val="20"/>
          <w:u w:val="none"/>
          <w:vertAlign w:val="baseline"/>
        </w:rPr>
        <w:t>State</w:t>
      </w:r>
      <w:r>
        <w:rPr>
          <w:rFonts w:ascii="arial" w:eastAsia="arial" w:hAnsi="arial" w:cs="arial"/>
          <w:b w:val="0"/>
          <w:i w:val="0"/>
          <w:strike w:val="0"/>
          <w:noProof w:val="0"/>
          <w:color w:val="000000"/>
          <w:position w:val="0"/>
          <w:sz w:val="20"/>
          <w:u w:val="none"/>
          <w:vertAlign w:val="baseline"/>
        </w:rPr>
        <w:t xml:space="preserve"> made no mention of it during closing argument.</w:t>
      </w:r>
      <w:r>
        <w:rPr>
          <w:rFonts w:ascii="arial" w:eastAsia="arial" w:hAnsi="arial" w:cs="arial"/>
          <w:vertAlign w:val="superscript"/>
        </w:rPr>
        <w:footnoteReference w:customMarkFollows="1" w:id="11"/>
        <w:t xml:space="preserve">10</w:t>
      </w:r>
      <w:r>
        <w:rPr>
          <w:rFonts w:ascii="arial" w:eastAsia="arial" w:hAnsi="arial" w:cs="arial"/>
          <w:b w:val="0"/>
          <w:i w:val="0"/>
          <w:strike w:val="0"/>
          <w:noProof w:val="0"/>
          <w:color w:val="000000"/>
          <w:position w:val="0"/>
          <w:sz w:val="20"/>
          <w:u w:val="none"/>
          <w:vertAlign w:val="baseline"/>
        </w:rPr>
        <w:t xml:space="preserve"> See </w:t>
      </w:r>
      <w:bookmarkStart w:id="68" w:name="Bookmark_I695SG262HM6T90050000400"/>
      <w:bookmarkEnd w:id="68"/>
      <w:r>
        <w:rPr>
          <w:rFonts w:ascii="arial" w:eastAsia="arial" w:hAnsi="arial" w:cs="arial"/>
          <w:b w:val="0"/>
          <w:i/>
          <w:strike w:val="0"/>
          <w:noProof w:val="0"/>
          <w:color w:val="000000"/>
          <w:position w:val="0"/>
          <w:sz w:val="20"/>
          <w:u w:val="none"/>
          <w:vertAlign w:val="baseline"/>
        </w:rPr>
        <w:t xml:space="preserve">Stafford v. </w:t>
      </w:r>
      <w:r>
        <w:rPr>
          <w:rFonts w:ascii="arial" w:eastAsia="arial" w:hAnsi="arial" w:cs="arial"/>
          <w:b w:val="0"/>
          <w:i/>
          <w:strike w:val="0"/>
          <w:noProof w:val="0"/>
          <w:color w:val="000000"/>
          <w:position w:val="0"/>
          <w:sz w:val="20"/>
          <w:u w:val="none"/>
          <w:vertAlign w:val="baseline"/>
        </w:rPr>
        <w:t>State</w:t>
      </w:r>
      <w:r>
        <w:rPr>
          <w:rFonts w:ascii="arial" w:eastAsia="arial" w:hAnsi="arial" w:cs="arial"/>
          <w:b w:val="0"/>
          <w:i w:val="0"/>
          <w:strike w:val="0"/>
          <w:noProof w:val="0"/>
          <w:color w:val="000000"/>
          <w:position w:val="0"/>
          <w:sz w:val="20"/>
          <w:u w:val="none"/>
          <w:vertAlign w:val="baseline"/>
        </w:rPr>
        <w:t xml:space="preserve">, 312 Ga. 811, 817 (2) (b) (865 SE2d 116) (2021) (any error in admission of Rule 404 (b) evidence was harmless in part because the </w:t>
      </w:r>
      <w:r>
        <w:rPr>
          <w:rFonts w:ascii="arial" w:eastAsia="arial" w:hAnsi="arial" w:cs="arial"/>
          <w:b w:val="0"/>
          <w:i w:val="0"/>
          <w:strike w:val="0"/>
          <w:noProof w:val="0"/>
          <w:color w:val="000000"/>
          <w:position w:val="0"/>
          <w:sz w:val="20"/>
          <w:u w:val="none"/>
          <w:vertAlign w:val="baseline"/>
        </w:rPr>
        <w:t>State</w:t>
      </w:r>
      <w:r>
        <w:rPr>
          <w:rFonts w:ascii="arial" w:eastAsia="arial" w:hAnsi="arial" w:cs="arial"/>
          <w:b w:val="0"/>
          <w:i w:val="0"/>
          <w:strike w:val="0"/>
          <w:noProof w:val="0"/>
          <w:color w:val="000000"/>
          <w:position w:val="0"/>
          <w:sz w:val="20"/>
          <w:u w:val="none"/>
          <w:vertAlign w:val="baseline"/>
        </w:rPr>
        <w:t xml:space="preserve"> did not mention or rely on the evidence in closing argument); </w:t>
      </w:r>
      <w:bookmarkStart w:id="69" w:name="Bookmark_I695SG262N1RMJ0020000400"/>
      <w:bookmarkEnd w:id="69"/>
      <w:r>
        <w:rPr>
          <w:rFonts w:ascii="arial" w:eastAsia="arial" w:hAnsi="arial" w:cs="arial"/>
          <w:b w:val="0"/>
          <w:i/>
          <w:strike w:val="0"/>
          <w:noProof w:val="0"/>
          <w:color w:val="000000"/>
          <w:position w:val="0"/>
          <w:sz w:val="20"/>
          <w:u w:val="none"/>
          <w:vertAlign w:val="baseline"/>
        </w:rPr>
        <w:t xml:space="preserve">Taylor v. </w:t>
      </w:r>
      <w:r>
        <w:rPr>
          <w:rFonts w:ascii="arial" w:eastAsia="arial" w:hAnsi="arial" w:cs="arial"/>
          <w:b w:val="0"/>
          <w:i/>
          <w:strike w:val="0"/>
          <w:noProof w:val="0"/>
          <w:color w:val="000000"/>
          <w:position w:val="0"/>
          <w:sz w:val="20"/>
          <w:u w:val="none"/>
          <w:vertAlign w:val="baseline"/>
        </w:rPr>
        <w:t>State</w:t>
      </w:r>
      <w:r>
        <w:rPr>
          <w:rFonts w:ascii="arial" w:eastAsia="arial" w:hAnsi="arial" w:cs="arial"/>
          <w:b w:val="0"/>
          <w:i w:val="0"/>
          <w:strike w:val="0"/>
          <w:noProof w:val="0"/>
          <w:color w:val="000000"/>
          <w:position w:val="0"/>
          <w:sz w:val="20"/>
          <w:u w:val="none"/>
          <w:vertAlign w:val="baseline"/>
        </w:rPr>
        <w:t xml:space="preserve">, 306 Ga. 277, 283 (2) (830 SE2d 90) (2019) (any error in admitting Rule 404 (b) evidence was harmless where the </w:t>
      </w:r>
      <w:r>
        <w:rPr>
          <w:rFonts w:ascii="arial" w:eastAsia="arial" w:hAnsi="arial" w:cs="arial"/>
          <w:b w:val="0"/>
          <w:i w:val="0"/>
          <w:strike w:val="0"/>
          <w:noProof w:val="0"/>
          <w:color w:val="000000"/>
          <w:position w:val="0"/>
          <w:sz w:val="20"/>
          <w:u w:val="none"/>
          <w:vertAlign w:val="baseline"/>
        </w:rPr>
        <w:t>State</w:t>
      </w:r>
      <w:r>
        <w:rPr>
          <w:rFonts w:ascii="arial" w:eastAsia="arial" w:hAnsi="arial" w:cs="arial"/>
          <w:b w:val="0"/>
          <w:i w:val="0"/>
          <w:strike w:val="0"/>
          <w:noProof w:val="0"/>
          <w:color w:val="000000"/>
          <w:position w:val="0"/>
          <w:sz w:val="20"/>
          <w:u w:val="none"/>
          <w:vertAlign w:val="baseline"/>
        </w:rPr>
        <w:t xml:space="preserve"> spent</w:t>
      </w:r>
      <w:r>
        <w:rPr>
          <w:rFonts w:ascii="arial" w:eastAsia="arial" w:hAnsi="arial" w:cs="arial"/>
          <w:b w:val="0"/>
          <w:i w:val="0"/>
          <w:strike w:val="0"/>
          <w:noProof w:val="0"/>
          <w:color w:val="000000"/>
          <w:position w:val="0"/>
          <w:sz w:val="20"/>
          <w:u w:val="none"/>
          <w:vertAlign w:val="baseline"/>
        </w:rPr>
        <w:t> [***15] </w:t>
      </w:r>
      <w:r>
        <w:rPr>
          <w:rFonts w:ascii="arial" w:eastAsia="arial" w:hAnsi="arial" w:cs="arial"/>
          <w:b w:val="0"/>
          <w:i w:val="0"/>
          <w:strike w:val="0"/>
          <w:noProof w:val="0"/>
          <w:color w:val="000000"/>
          <w:position w:val="0"/>
          <w:sz w:val="20"/>
          <w:u w:val="none"/>
          <w:vertAlign w:val="baseline"/>
        </w:rPr>
        <w:t xml:space="preserve"> a minimal amount of time eliciting evidence concerning the incident and made no mention of it during its closing argument). In addition, the other evidence in this case — including Brown's testimony that </w:t>
      </w:r>
      <w:r>
        <w:rPr>
          <w:rFonts w:ascii="arial" w:eastAsia="arial" w:hAnsi="arial" w:cs="arial"/>
          <w:b w:val="0"/>
          <w:i w:val="0"/>
          <w:strike w:val="0"/>
          <w:noProof w:val="0"/>
          <w:color w:val="000000"/>
          <w:position w:val="0"/>
          <w:sz w:val="20"/>
          <w:u w:val="none"/>
          <w:vertAlign w:val="baseline"/>
        </w:rPr>
        <w:t>Randolph</w:t>
      </w:r>
      <w:r>
        <w:rPr>
          <w:rFonts w:ascii="arial" w:eastAsia="arial" w:hAnsi="arial" w:cs="arial"/>
          <w:b w:val="0"/>
          <w:i w:val="0"/>
          <w:strike w:val="0"/>
          <w:noProof w:val="0"/>
          <w:color w:val="000000"/>
          <w:position w:val="0"/>
          <w:sz w:val="20"/>
          <w:u w:val="none"/>
          <w:vertAlign w:val="baseline"/>
        </w:rPr>
        <w:t xml:space="preserve"> was the shooter, the presence of </w:t>
      </w:r>
      <w:r>
        <w:rPr>
          <w:rFonts w:ascii="arial" w:eastAsia="arial" w:hAnsi="arial" w:cs="arial"/>
          <w:b w:val="0"/>
          <w:i w:val="0"/>
          <w:strike w:val="0"/>
          <w:noProof w:val="0"/>
          <w:color w:val="000000"/>
          <w:position w:val="0"/>
          <w:sz w:val="20"/>
          <w:u w:val="none"/>
          <w:vertAlign w:val="baseline"/>
        </w:rPr>
        <w:t>Randolph</w:t>
      </w:r>
      <w:r>
        <w:rPr>
          <w:rFonts w:ascii="arial" w:eastAsia="arial" w:hAnsi="arial" w:cs="arial"/>
          <w:b w:val="0"/>
          <w:i w:val="0"/>
          <w:strike w:val="0"/>
          <w:noProof w:val="0"/>
          <w:color w:val="000000"/>
          <w:position w:val="0"/>
          <w:sz w:val="20"/>
          <w:u w:val="none"/>
          <w:vertAlign w:val="baseline"/>
        </w:rPr>
        <w:t xml:space="preserve">'s fingerprint at the scene, and the properly admitted 2000 armed robbery evidence — was strong. See </w:t>
      </w:r>
      <w:bookmarkStart w:id="70" w:name="Bookmark_I695SG262N1RMJ0040000400"/>
      <w:bookmarkEnd w:id="70"/>
      <w:r>
        <w:rPr>
          <w:rFonts w:ascii="arial" w:eastAsia="arial" w:hAnsi="arial" w:cs="arial"/>
          <w:b w:val="0"/>
          <w:i/>
          <w:strike w:val="0"/>
          <w:noProof w:val="0"/>
          <w:color w:val="000000"/>
          <w:position w:val="0"/>
          <w:sz w:val="20"/>
          <w:u w:val="none"/>
          <w:vertAlign w:val="baseline"/>
        </w:rPr>
        <w:t xml:space="preserve">Priester v. </w:t>
      </w:r>
      <w:r>
        <w:rPr>
          <w:rFonts w:ascii="arial" w:eastAsia="arial" w:hAnsi="arial" w:cs="arial"/>
          <w:b w:val="0"/>
          <w:i/>
          <w:strike w:val="0"/>
          <w:noProof w:val="0"/>
          <w:color w:val="000000"/>
          <w:position w:val="0"/>
          <w:sz w:val="20"/>
          <w:u w:val="none"/>
          <w:vertAlign w:val="baseline"/>
        </w:rPr>
        <w:t>State</w:t>
      </w:r>
      <w:r>
        <w:rPr>
          <w:rFonts w:ascii="arial" w:eastAsia="arial" w:hAnsi="arial" w:cs="arial"/>
          <w:b w:val="0"/>
          <w:i w:val="0"/>
          <w:strike w:val="0"/>
          <w:noProof w:val="0"/>
          <w:color w:val="000000"/>
          <w:position w:val="0"/>
          <w:sz w:val="20"/>
          <w:u w:val="none"/>
          <w:vertAlign w:val="baseline"/>
        </w:rPr>
        <w:t>, 316 Ga. 133, 137 (2) (886 SE2d 805) (2023) (erroneously admitted Rule 404 (b) evidence not harmful where the properly admitted evidence against the defendant was strong).</w:t>
      </w:r>
    </w:p>
    <w:p>
      <w:pPr>
        <w:keepNext w:val="0"/>
        <w:spacing w:before="200" w:after="0" w:line="260" w:lineRule="atLeast"/>
        <w:ind w:left="0" w:right="0" w:firstLine="0"/>
        <w:jc w:val="both"/>
      </w:pPr>
      <w:bookmarkStart w:id="71" w:name="Bookmark_I695SG2728T4BY0020000400"/>
      <w:bookmarkEnd w:id="71"/>
      <w:r>
        <w:rPr>
          <w:rFonts w:ascii="arial" w:eastAsia="arial" w:hAnsi="arial" w:cs="arial"/>
          <w:b w:val="0"/>
          <w:i w:val="0"/>
          <w:strike w:val="0"/>
          <w:noProof w:val="0"/>
          <w:color w:val="000000"/>
          <w:position w:val="0"/>
          <w:sz w:val="20"/>
          <w:u w:val="none"/>
          <w:vertAlign w:val="baseline"/>
        </w:rPr>
        <w:t xml:space="preserve">The record also shows that the trial court twice instructed the jury that it could only consider the other-acts evidence for the limited Rule 404 (b) purposes; that it could not conclude from the evidence that </w:t>
      </w:r>
      <w:r>
        <w:rPr>
          <w:rFonts w:ascii="arial" w:eastAsia="arial" w:hAnsi="arial" w:cs="arial"/>
          <w:b w:val="0"/>
          <w:i w:val="0"/>
          <w:strike w:val="0"/>
          <w:noProof w:val="0"/>
          <w:color w:val="000000"/>
          <w:position w:val="0"/>
          <w:sz w:val="20"/>
          <w:u w:val="none"/>
          <w:vertAlign w:val="baseline"/>
        </w:rPr>
        <w:t>Randolph</w:t>
      </w:r>
      <w:r>
        <w:rPr>
          <w:rFonts w:ascii="arial" w:eastAsia="arial" w:hAnsi="arial" w:cs="arial"/>
          <w:b w:val="0"/>
          <w:i w:val="0"/>
          <w:strike w:val="0"/>
          <w:noProof w:val="0"/>
          <w:color w:val="000000"/>
          <w:position w:val="0"/>
          <w:sz w:val="20"/>
          <w:u w:val="none"/>
          <w:vertAlign w:val="baseline"/>
        </w:rPr>
        <w:t xml:space="preserve"> had a propensity to commit crimes; and that </w:t>
      </w:r>
      <w:r>
        <w:rPr>
          <w:rFonts w:ascii="arial" w:eastAsia="arial" w:hAnsi="arial" w:cs="arial"/>
          <w:b w:val="0"/>
          <w:i w:val="0"/>
          <w:strike w:val="0"/>
          <w:noProof w:val="0"/>
          <w:color w:val="000000"/>
          <w:position w:val="0"/>
          <w:sz w:val="20"/>
          <w:u w:val="none"/>
          <w:vertAlign w:val="baseline"/>
        </w:rPr>
        <w:t>Randolph</w:t>
      </w:r>
      <w:r>
        <w:rPr>
          <w:rFonts w:ascii="arial" w:eastAsia="arial" w:hAnsi="arial" w:cs="arial"/>
          <w:b w:val="0"/>
          <w:i w:val="0"/>
          <w:strike w:val="0"/>
          <w:noProof w:val="0"/>
          <w:color w:val="000000"/>
          <w:position w:val="0"/>
          <w:sz w:val="20"/>
          <w:u w:val="none"/>
          <w:vertAlign w:val="baseline"/>
        </w:rPr>
        <w:t xml:space="preserve"> was on trial only for the charges listed in the indictment. Thus, </w:t>
      </w:r>
      <w:r>
        <w:rPr>
          <w:rFonts w:ascii="arial" w:eastAsia="arial" w:hAnsi="arial" w:cs="arial"/>
          <w:b w:val="0"/>
          <w:i w:val="0"/>
          <w:strike w:val="0"/>
          <w:noProof w:val="0"/>
          <w:color w:val="000000"/>
          <w:position w:val="0"/>
          <w:sz w:val="20"/>
          <w:u w:val="none"/>
          <w:vertAlign w:val="baseline"/>
        </w:rPr>
        <w:t>Randolph</w:t>
      </w:r>
      <w:r>
        <w:rPr>
          <w:rFonts w:ascii="arial" w:eastAsia="arial" w:hAnsi="arial" w:cs="arial"/>
          <w:b w:val="0"/>
          <w:i w:val="0"/>
          <w:strike w:val="0"/>
          <w:noProof w:val="0"/>
          <w:color w:val="000000"/>
          <w:position w:val="0"/>
          <w:sz w:val="20"/>
          <w:u w:val="none"/>
          <w:vertAlign w:val="baseline"/>
        </w:rPr>
        <w:t xml:space="preserve"> cannot show that it is highly probable that any error in admitting the 2011 home burglary evidence contributed to the jury's verdict, and this enumeration of error fails. See </w:t>
      </w:r>
      <w:bookmarkStart w:id="72" w:name="Bookmark_I695SG2728T4BY0010000400"/>
      <w:bookmarkEnd w:id="72"/>
      <w:r>
        <w:rPr>
          <w:rFonts w:ascii="arial" w:eastAsia="arial" w:hAnsi="arial" w:cs="arial"/>
          <w:b w:val="0"/>
          <w:i/>
          <w:strike w:val="0"/>
          <w:noProof w:val="0"/>
          <w:color w:val="000000"/>
          <w:position w:val="0"/>
          <w:sz w:val="20"/>
          <w:u w:val="none"/>
          <w:vertAlign w:val="baseline"/>
        </w:rPr>
        <w:t xml:space="preserve">Pritchett v. </w:t>
      </w:r>
      <w:r>
        <w:rPr>
          <w:rFonts w:ascii="arial" w:eastAsia="arial" w:hAnsi="arial" w:cs="arial"/>
          <w:b w:val="0"/>
          <w:i/>
          <w:strike w:val="0"/>
          <w:noProof w:val="0"/>
          <w:color w:val="000000"/>
          <w:position w:val="0"/>
          <w:sz w:val="20"/>
          <w:u w:val="none"/>
          <w:vertAlign w:val="baseline"/>
        </w:rPr>
        <w:t>State</w:t>
      </w:r>
      <w:r>
        <w:rPr>
          <w:rFonts w:ascii="arial" w:eastAsia="arial" w:hAnsi="arial" w:cs="arial"/>
          <w:b w:val="0"/>
          <w:i w:val="0"/>
          <w:strike w:val="0"/>
          <w:noProof w:val="0"/>
          <w:color w:val="000000"/>
          <w:position w:val="0"/>
          <w:sz w:val="20"/>
          <w:u w:val="none"/>
          <w:vertAlign w:val="baseline"/>
        </w:rPr>
        <w:t>, 314 Ga. 767, 780 (2) (c) (879 SE2d 436) (2022) (concluding erroneous admission of other-acts evidence was harmless in part because, in considering whether the admission of other-acts evidence was harmless, “we presume that the jury followed [the trial court's] instructions</w:t>
      </w:r>
      <w:r>
        <w:rPr>
          <w:rFonts w:ascii="arial" w:eastAsia="arial" w:hAnsi="arial" w:cs="arial"/>
          <w:b w:val="0"/>
          <w:i w:val="0"/>
          <w:strike w:val="0"/>
          <w:noProof w:val="0"/>
          <w:color w:val="000000"/>
          <w:position w:val="0"/>
          <w:sz w:val="20"/>
          <w:u w:val="none"/>
          <w:vertAlign w:val="baseline"/>
        </w:rPr>
        <w:t> [***16] </w:t>
      </w:r>
      <w:r>
        <w:rPr>
          <w:rFonts w:ascii="arial" w:eastAsia="arial" w:hAnsi="arial" w:cs="arial"/>
          <w:b w:val="0"/>
          <w:i w:val="0"/>
          <w:strike w:val="0"/>
          <w:noProof w:val="0"/>
          <w:color w:val="000000"/>
          <w:position w:val="0"/>
          <w:sz w:val="20"/>
          <w:u w:val="none"/>
          <w:vertAlign w:val="baseline"/>
        </w:rPr>
        <w:t xml:space="preserve"> and did not use the other-acts evidence improperly to support that [Appellant] had a propensity towards violence”).</w:t>
      </w:r>
    </w:p>
    <w:p>
      <w:pPr>
        <w:keepNext w:val="0"/>
        <w:spacing w:before="200" w:after="0" w:line="260" w:lineRule="atLeast"/>
        <w:ind w:left="0" w:right="0" w:firstLine="0"/>
        <w:jc w:val="both"/>
      </w:pPr>
      <w:r>
        <w:rPr>
          <w:rFonts w:ascii="arial" w:eastAsia="arial" w:hAnsi="arial" w:cs="arial"/>
          <w:b w:val="0"/>
          <w:i/>
          <w:strike w:val="0"/>
          <w:noProof w:val="0"/>
          <w:color w:val="000000"/>
          <w:position w:val="0"/>
          <w:sz w:val="20"/>
          <w:u w:val="none"/>
          <w:vertAlign w:val="baseline"/>
        </w:rPr>
        <w:t>Judgment affirmed. All the Justices concur.</w:t>
      </w:r>
    </w:p>
    <w:p/>
    <w:p>
      <w:pPr>
        <w:ind w:left="200"/>
      </w:pPr>
      <w:r>
        <w:br/>
      </w:r>
      <w:r>
        <w:pict>
          <v:line id="_x0000_s1026" style="position:absolute;z-index:251659264" from="0,10pt" to="512pt,10pt" strokecolor="black" strokeweight="1pt">
            <v:stroke linestyle="single"/>
          </v:line>
        </w:pict>
      </w:r>
      <w:r>
        <w:rPr>
          <w:rFonts w:ascii="arial" w:eastAsia="arial" w:hAnsi="arial" w:cs="arial"/>
          <w:b/>
          <w:color w:val="767676"/>
          <w:sz w:val="16"/>
        </w:rPr>
        <w:t>End of Document</w:t>
      </w:r>
    </w:p>
    <w:sectPr>
      <w:type w:val="continuous"/>
      <w:pgMar w:top="840" w:right="1000" w:bottom="840" w:left="1000" w:header="400" w:footer="400"/>
      <w:pgNumType w:fmt="decimal"/>
      <w:cols w:num="1" w:space="720"/>
    </w:sectPr>
  </w:body>
</w:document>
</file>

<file path=word/fontTable.xml><?xml version="1.0" encoding="utf-8"?>
<w:fonts xmlns:r="http://schemas.openxmlformats.org/officeDocument/2006/relationships" xmlns:w="http://schemas.openxmlformats.org/wordprocessingml/2006/main">
  <w:font w:name="Times New Roman">
    <w:panose1 w:val="02020603050405020304"/>
    <w:charset w:val="CC"/>
    <w:family w:val="roman"/>
    <w:pitch w:val="variable"/>
    <w:sig w:usb0="20007A87" w:usb1="80000000" w:usb2="00000008" w:usb3="00000000" w:csb0="000001FF"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CC"/>
    <w:family w:val="swiss"/>
    <w:pitch w:val="variable"/>
    <w:sig w:usb0="20007A87" w:usb1="80000000" w:usb2="00000008" w:usb3="00000000" w:csb0="000001F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tc>
      <w:tc>
        <w:tcPr>
          <w:tcW w:w="4880" w:type="dxa"/>
          <w:tcMar>
            <w:top w:w="200" w:type="dxa"/>
          </w:tcMar>
          <w:vAlign w:val="center"/>
        </w:tcPr>
        <w:p/>
      </w:tc>
      <w:tc>
        <w:tcPr>
          <w:tcW w:w="2600" w:type="dxa"/>
          <w:tcMar>
            <w:top w:w="200" w:type="dxa"/>
          </w:tcMar>
          <w:vAlign w:val="center"/>
        </w:tcPr>
        <w:p/>
      </w:tc>
    </w:tr>
  </w:tbl>
</w:ftr>
</file>

<file path=word/footer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p>
</w:ftr>
</file>

<file path=word/footnotes.xml><?xml version="1.0" encoding="utf-8"?>
<w:foot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footnote w:type="separator" w:id="0">
    <w:p>
      <w:pPr>
        <w:spacing w:after="0" w:line="240" w:lineRule="auto"/>
      </w:pPr>
      <w:r>
        <w:separator/>
      </w:r>
    </w:p>
  </w:footnote>
  <w:footnote w:type="continuationSeparator" w:id="1">
    <w:p>
      <w:pPr>
        <w:spacing w:after="0" w:line="240" w:lineRule="auto"/>
      </w:pPr>
      <w:r>
        <w:continuationSeparator/>
      </w:r>
    </w:p>
  </w:footnote>
  <w:footnote w:id="2">
    <w:p>
      <w:pPr>
        <w:spacing w:before="200" w:line="240" w:lineRule="atLeast"/>
        <w:jc w:val="both"/>
      </w:pPr>
      <w:r>
        <w:rPr>
          <w:rFonts w:ascii="arial" w:eastAsia="arial" w:hAnsi="arial" w:cs="arial"/>
          <w:b w:val="0"/>
          <w:i w:val="0"/>
          <w:strike w:val="0"/>
          <w:noProof w:val="0"/>
          <w:color w:val="000000"/>
          <w:position w:val="0"/>
          <w:sz w:val="18"/>
          <w:u w:val="none"/>
          <w:vertAlign w:val="superscript"/>
        </w:rPr>
        <w:t>1 </w:t>
      </w:r>
      <w:bookmarkStart w:id="9" w:name="Bookmark_fnpara_1"/>
      <w:bookmarkEnd w:id="9"/>
      <w:r>
        <w:rPr>
          <w:rFonts w:ascii="arial" w:eastAsia="arial" w:hAnsi="arial" w:cs="arial"/>
          <w:b w:val="0"/>
          <w:i w:val="0"/>
          <w:strike w:val="0"/>
          <w:noProof w:val="0"/>
          <w:color w:val="000000"/>
          <w:position w:val="0"/>
          <w:sz w:val="18"/>
          <w:u w:val="none"/>
          <w:vertAlign w:val="baseline"/>
        </w:rPr>
        <w:t xml:space="preserve">Castlin was killed on December 7, 2000. In December 2014, a Cobb County grand jury indicted </w:t>
      </w:r>
      <w:r>
        <w:rPr>
          <w:rFonts w:ascii="arial" w:eastAsia="arial" w:hAnsi="arial" w:cs="arial"/>
          <w:b w:val="0"/>
          <w:i w:val="0"/>
          <w:strike w:val="0"/>
          <w:noProof w:val="0"/>
          <w:color w:val="000000"/>
          <w:position w:val="0"/>
          <w:sz w:val="18"/>
          <w:u w:val="none"/>
          <w:vertAlign w:val="baseline"/>
        </w:rPr>
        <w:t>Randolph</w:t>
      </w:r>
      <w:r>
        <w:rPr>
          <w:rFonts w:ascii="arial" w:eastAsia="arial" w:hAnsi="arial" w:cs="arial"/>
          <w:b w:val="0"/>
          <w:i w:val="0"/>
          <w:strike w:val="0"/>
          <w:noProof w:val="0"/>
          <w:color w:val="000000"/>
          <w:position w:val="0"/>
          <w:sz w:val="18"/>
          <w:u w:val="none"/>
          <w:vertAlign w:val="baseline"/>
        </w:rPr>
        <w:t xml:space="preserve"> on charges of malice murder (Count 1), felony murder (Count 2), criminal attempt to commit armed robbery against Castlin (Count 3), two counts of armed robbery against Torres and Dixon, respectively (Counts 4 and 6), aggravated assault of Torres (Count 5), and possession of a firearm during the commission of a felony (Count 7). At a trial in March 2016, a jury found </w:t>
      </w:r>
      <w:r>
        <w:rPr>
          <w:rFonts w:ascii="arial" w:eastAsia="arial" w:hAnsi="arial" w:cs="arial"/>
          <w:b w:val="0"/>
          <w:i w:val="0"/>
          <w:strike w:val="0"/>
          <w:noProof w:val="0"/>
          <w:color w:val="000000"/>
          <w:position w:val="0"/>
          <w:sz w:val="18"/>
          <w:u w:val="none"/>
          <w:vertAlign w:val="baseline"/>
        </w:rPr>
        <w:t>Randolph</w:t>
      </w:r>
      <w:r>
        <w:rPr>
          <w:rFonts w:ascii="arial" w:eastAsia="arial" w:hAnsi="arial" w:cs="arial"/>
          <w:b w:val="0"/>
          <w:i w:val="0"/>
          <w:strike w:val="0"/>
          <w:noProof w:val="0"/>
          <w:color w:val="000000"/>
          <w:position w:val="0"/>
          <w:sz w:val="18"/>
          <w:u w:val="none"/>
          <w:vertAlign w:val="baseline"/>
        </w:rPr>
        <w:t xml:space="preserve"> guilty of all counts. The trial court sentenced </w:t>
      </w:r>
      <w:r>
        <w:rPr>
          <w:rFonts w:ascii="arial" w:eastAsia="arial" w:hAnsi="arial" w:cs="arial"/>
          <w:b w:val="0"/>
          <w:i w:val="0"/>
          <w:strike w:val="0"/>
          <w:noProof w:val="0"/>
          <w:color w:val="000000"/>
          <w:position w:val="0"/>
          <w:sz w:val="18"/>
          <w:u w:val="none"/>
          <w:vertAlign w:val="baseline"/>
        </w:rPr>
        <w:t>Randolph</w:t>
      </w:r>
      <w:r>
        <w:rPr>
          <w:rFonts w:ascii="arial" w:eastAsia="arial" w:hAnsi="arial" w:cs="arial"/>
          <w:b w:val="0"/>
          <w:i w:val="0"/>
          <w:strike w:val="0"/>
          <w:noProof w:val="0"/>
          <w:color w:val="000000"/>
          <w:position w:val="0"/>
          <w:sz w:val="18"/>
          <w:u w:val="none"/>
          <w:vertAlign w:val="baseline"/>
        </w:rPr>
        <w:t xml:space="preserve"> to serve three consecutive life sentences in prison on Counts 1, 4, and 6. In addition, the trial court sentenced </w:t>
      </w:r>
      <w:r>
        <w:rPr>
          <w:rFonts w:ascii="arial" w:eastAsia="arial" w:hAnsi="arial" w:cs="arial"/>
          <w:b w:val="0"/>
          <w:i w:val="0"/>
          <w:strike w:val="0"/>
          <w:noProof w:val="0"/>
          <w:color w:val="000000"/>
          <w:position w:val="0"/>
          <w:sz w:val="18"/>
          <w:u w:val="none"/>
          <w:vertAlign w:val="baseline"/>
        </w:rPr>
        <w:t>Randolph</w:t>
      </w:r>
      <w:r>
        <w:rPr>
          <w:rFonts w:ascii="arial" w:eastAsia="arial" w:hAnsi="arial" w:cs="arial"/>
          <w:b w:val="0"/>
          <w:i w:val="0"/>
          <w:strike w:val="0"/>
          <w:noProof w:val="0"/>
          <w:color w:val="000000"/>
          <w:position w:val="0"/>
          <w:sz w:val="18"/>
          <w:u w:val="none"/>
          <w:vertAlign w:val="baseline"/>
        </w:rPr>
        <w:t xml:space="preserve"> to serve ten years in prison on Count 3, 20 years on Count 5, and five years on Count 7, with each sentence to be served consecutively for a total of three life sentences plus 35 years in confinement. Count 2 was vacated by operation of law. </w:t>
      </w:r>
      <w:r>
        <w:rPr>
          <w:rFonts w:ascii="arial" w:eastAsia="arial" w:hAnsi="arial" w:cs="arial"/>
          <w:b w:val="0"/>
          <w:i w:val="0"/>
          <w:strike w:val="0"/>
          <w:noProof w:val="0"/>
          <w:color w:val="000000"/>
          <w:position w:val="0"/>
          <w:sz w:val="18"/>
          <w:u w:val="none"/>
          <w:vertAlign w:val="baseline"/>
        </w:rPr>
        <w:t>Randolph</w:t>
      </w:r>
      <w:r>
        <w:rPr>
          <w:rFonts w:ascii="arial" w:eastAsia="arial" w:hAnsi="arial" w:cs="arial"/>
          <w:b w:val="0"/>
          <w:i w:val="0"/>
          <w:strike w:val="0"/>
          <w:noProof w:val="0"/>
          <w:color w:val="000000"/>
          <w:position w:val="0"/>
          <w:sz w:val="18"/>
          <w:u w:val="none"/>
          <w:vertAlign w:val="baseline"/>
        </w:rPr>
        <w:t xml:space="preserve"> timely filed a motion for new trial, which he later amended through new counsel on October 14, 2022. Following a hearing, the trial court denied the motion for new trial on December 27, 2022. </w:t>
      </w:r>
      <w:r>
        <w:rPr>
          <w:rFonts w:ascii="arial" w:eastAsia="arial" w:hAnsi="arial" w:cs="arial"/>
          <w:b w:val="0"/>
          <w:i w:val="0"/>
          <w:strike w:val="0"/>
          <w:noProof w:val="0"/>
          <w:color w:val="000000"/>
          <w:position w:val="0"/>
          <w:sz w:val="18"/>
          <w:u w:val="none"/>
          <w:vertAlign w:val="baseline"/>
        </w:rPr>
        <w:t>Randolph</w:t>
      </w:r>
      <w:r>
        <w:rPr>
          <w:rFonts w:ascii="arial" w:eastAsia="arial" w:hAnsi="arial" w:cs="arial"/>
          <w:b w:val="0"/>
          <w:i w:val="0"/>
          <w:strike w:val="0"/>
          <w:noProof w:val="0"/>
          <w:color w:val="000000"/>
          <w:position w:val="0"/>
          <w:sz w:val="18"/>
          <w:u w:val="none"/>
          <w:vertAlign w:val="baseline"/>
        </w:rPr>
        <w:t xml:space="preserve"> timely appealed, and the case was docketed to the April 2023 term of this Court and submitted for a decision on the briefs.</w:t>
      </w:r>
    </w:p>
  </w:footnote>
  <w:footnote w:id="3">
    <w:p>
      <w:pPr>
        <w:spacing w:before="200" w:line="240" w:lineRule="atLeast"/>
        <w:jc w:val="both"/>
      </w:pPr>
      <w:r>
        <w:rPr>
          <w:rFonts w:ascii="arial" w:eastAsia="arial" w:hAnsi="arial" w:cs="arial"/>
          <w:b w:val="0"/>
          <w:i w:val="0"/>
          <w:strike w:val="0"/>
          <w:noProof w:val="0"/>
          <w:color w:val="000000"/>
          <w:position w:val="0"/>
          <w:sz w:val="18"/>
          <w:u w:val="none"/>
          <w:vertAlign w:val="superscript"/>
        </w:rPr>
        <w:t>2 </w:t>
      </w:r>
      <w:bookmarkStart w:id="10" w:name="Bookmark_fnpara_2"/>
      <w:bookmarkEnd w:id="10"/>
      <w:r>
        <w:rPr>
          <w:rFonts w:ascii="arial" w:eastAsia="arial" w:hAnsi="arial" w:cs="arial"/>
          <w:b w:val="0"/>
          <w:i w:val="0"/>
          <w:strike w:val="0"/>
          <w:noProof w:val="0"/>
          <w:color w:val="000000"/>
          <w:position w:val="0"/>
          <w:sz w:val="18"/>
          <w:u w:val="none"/>
          <w:vertAlign w:val="baseline"/>
        </w:rPr>
        <w:t xml:space="preserve">At trial, </w:t>
      </w:r>
      <w:r>
        <w:rPr>
          <w:rFonts w:ascii="arial" w:eastAsia="arial" w:hAnsi="arial" w:cs="arial"/>
          <w:b w:val="0"/>
          <w:i w:val="0"/>
          <w:strike w:val="0"/>
          <w:noProof w:val="0"/>
          <w:color w:val="000000"/>
          <w:position w:val="0"/>
          <w:sz w:val="18"/>
          <w:u w:val="none"/>
          <w:vertAlign w:val="baseline"/>
        </w:rPr>
        <w:t>Randolph</w:t>
      </w:r>
      <w:r>
        <w:rPr>
          <w:rFonts w:ascii="arial" w:eastAsia="arial" w:hAnsi="arial" w:cs="arial"/>
          <w:b w:val="0"/>
          <w:i w:val="0"/>
          <w:strike w:val="0"/>
          <w:noProof w:val="0"/>
          <w:color w:val="000000"/>
          <w:position w:val="0"/>
          <w:sz w:val="18"/>
          <w:u w:val="none"/>
          <w:vertAlign w:val="baseline"/>
        </w:rPr>
        <w:t xml:space="preserve">'s counsel argued that </w:t>
      </w:r>
      <w:r>
        <w:rPr>
          <w:rFonts w:ascii="arial" w:eastAsia="arial" w:hAnsi="arial" w:cs="arial"/>
          <w:b w:val="0"/>
          <w:i w:val="0"/>
          <w:strike w:val="0"/>
          <w:noProof w:val="0"/>
          <w:color w:val="000000"/>
          <w:position w:val="0"/>
          <w:sz w:val="18"/>
          <w:u w:val="none"/>
          <w:vertAlign w:val="baseline"/>
        </w:rPr>
        <w:t>Randolph</w:t>
      </w:r>
      <w:r>
        <w:rPr>
          <w:rFonts w:ascii="arial" w:eastAsia="arial" w:hAnsi="arial" w:cs="arial"/>
          <w:b w:val="0"/>
          <w:i w:val="0"/>
          <w:strike w:val="0"/>
          <w:noProof w:val="0"/>
          <w:color w:val="000000"/>
          <w:position w:val="0"/>
          <w:sz w:val="18"/>
          <w:u w:val="none"/>
          <w:vertAlign w:val="baseline"/>
        </w:rPr>
        <w:t xml:space="preserve"> could have left the fingerprints at some time prior to the shooting. However, the general manager for the Wingate Inn, which had just opened two weeks prior to the shooting, testified that </w:t>
      </w:r>
      <w:r>
        <w:rPr>
          <w:rFonts w:ascii="arial" w:eastAsia="arial" w:hAnsi="arial" w:cs="arial"/>
          <w:b w:val="0"/>
          <w:i w:val="0"/>
          <w:strike w:val="0"/>
          <w:noProof w:val="0"/>
          <w:color w:val="000000"/>
          <w:position w:val="0"/>
          <w:sz w:val="18"/>
          <w:u w:val="none"/>
          <w:vertAlign w:val="baseline"/>
        </w:rPr>
        <w:t>Randolph</w:t>
      </w:r>
      <w:r>
        <w:rPr>
          <w:rFonts w:ascii="arial" w:eastAsia="arial" w:hAnsi="arial" w:cs="arial"/>
          <w:b w:val="0"/>
          <w:i w:val="0"/>
          <w:strike w:val="0"/>
          <w:noProof w:val="0"/>
          <w:color w:val="000000"/>
          <w:position w:val="0"/>
          <w:sz w:val="18"/>
          <w:u w:val="none"/>
          <w:vertAlign w:val="baseline"/>
        </w:rPr>
        <w:t xml:space="preserve"> was not an employee of the hotel, nor had he been a guest at the hotel. She also explained that the surfaces of the lobby, including the front desk counter, were cleaned several times each shift.</w:t>
      </w:r>
    </w:p>
  </w:footnote>
  <w:footnote w:id="4">
    <w:p>
      <w:pPr>
        <w:spacing w:before="120" w:line="240" w:lineRule="atLeast"/>
        <w:jc w:val="both"/>
      </w:pPr>
      <w:r>
        <w:rPr>
          <w:rFonts w:ascii="arial" w:eastAsia="arial" w:hAnsi="arial" w:cs="arial"/>
          <w:b w:val="0"/>
          <w:i w:val="0"/>
          <w:strike w:val="0"/>
          <w:noProof w:val="0"/>
          <w:color w:val="000000"/>
          <w:position w:val="0"/>
          <w:sz w:val="18"/>
          <w:u w:val="none"/>
          <w:vertAlign w:val="superscript"/>
        </w:rPr>
        <w:t>3 </w:t>
      </w:r>
      <w:bookmarkStart w:id="11" w:name="Bookmark_fnpara_3"/>
      <w:bookmarkEnd w:id="11"/>
      <w:r>
        <w:rPr>
          <w:rFonts w:ascii="arial" w:eastAsia="arial" w:hAnsi="arial" w:cs="arial"/>
          <w:b w:val="0"/>
          <w:i w:val="0"/>
          <w:strike w:val="0"/>
          <w:noProof w:val="0"/>
          <w:color w:val="000000"/>
          <w:position w:val="0"/>
          <w:sz w:val="18"/>
          <w:u w:val="none"/>
          <w:vertAlign w:val="baseline"/>
        </w:rPr>
        <w:t>At the time of trial, Brown was serving a 15-year federal prison sentence on sex trafficking charges.</w:t>
      </w:r>
    </w:p>
  </w:footnote>
  <w:footnote w:id="5">
    <w:p>
      <w:pPr>
        <w:spacing w:before="120" w:line="240" w:lineRule="atLeast"/>
        <w:jc w:val="both"/>
      </w:pPr>
      <w:r>
        <w:rPr>
          <w:rFonts w:ascii="arial" w:eastAsia="arial" w:hAnsi="arial" w:cs="arial"/>
          <w:b w:val="0"/>
          <w:i w:val="0"/>
          <w:strike w:val="0"/>
          <w:noProof w:val="0"/>
          <w:color w:val="000000"/>
          <w:position w:val="0"/>
          <w:sz w:val="18"/>
          <w:u w:val="none"/>
          <w:vertAlign w:val="superscript"/>
        </w:rPr>
        <w:t>4 </w:t>
      </w:r>
      <w:bookmarkStart w:id="12" w:name="Bookmark_fnpara_4"/>
      <w:bookmarkEnd w:id="12"/>
      <w:r>
        <w:rPr>
          <w:rFonts w:ascii="arial" w:eastAsia="arial" w:hAnsi="arial" w:cs="arial"/>
          <w:b w:val="0"/>
          <w:i w:val="0"/>
          <w:strike w:val="0"/>
          <w:noProof w:val="0"/>
          <w:color w:val="000000"/>
          <w:position w:val="0"/>
          <w:sz w:val="18"/>
          <w:u w:val="none"/>
          <w:vertAlign w:val="baseline"/>
        </w:rPr>
        <w:t>Brown testified that he weighed about 300 pounds in 2000.</w:t>
      </w:r>
    </w:p>
  </w:footnote>
  <w:footnote w:id="6">
    <w:p>
      <w:pPr>
        <w:spacing w:before="200" w:line="240" w:lineRule="atLeast"/>
        <w:jc w:val="both"/>
      </w:pPr>
      <w:r>
        <w:rPr>
          <w:rFonts w:ascii="arial" w:eastAsia="arial" w:hAnsi="arial" w:cs="arial"/>
          <w:b w:val="0"/>
          <w:i w:val="0"/>
          <w:strike w:val="0"/>
          <w:noProof w:val="0"/>
          <w:color w:val="000000"/>
          <w:position w:val="0"/>
          <w:sz w:val="18"/>
          <w:u w:val="none"/>
          <w:vertAlign w:val="superscript"/>
        </w:rPr>
        <w:t>5 </w:t>
      </w:r>
      <w:bookmarkStart w:id="19" w:name="Bookmark_fnpara_5"/>
      <w:bookmarkEnd w:id="19"/>
      <w:r>
        <w:rPr>
          <w:rFonts w:ascii="arial" w:eastAsia="arial" w:hAnsi="arial" w:cs="arial"/>
          <w:b w:val="0"/>
          <w:i w:val="0"/>
          <w:strike w:val="0"/>
          <w:noProof w:val="0"/>
          <w:color w:val="000000"/>
          <w:position w:val="0"/>
          <w:sz w:val="18"/>
          <w:u w:val="none"/>
          <w:vertAlign w:val="baseline"/>
        </w:rPr>
        <w:t>Randolph</w:t>
      </w:r>
      <w:r>
        <w:rPr>
          <w:rFonts w:ascii="arial" w:eastAsia="arial" w:hAnsi="arial" w:cs="arial"/>
          <w:b w:val="0"/>
          <w:i w:val="0"/>
          <w:strike w:val="0"/>
          <w:noProof w:val="0"/>
          <w:color w:val="000000"/>
          <w:position w:val="0"/>
          <w:sz w:val="18"/>
          <w:u w:val="none"/>
          <w:vertAlign w:val="baseline"/>
        </w:rPr>
        <w:t xml:space="preserve"> does not assert that the evidence was insufficient as a matter of constitutional due process, so we do not address that issue. See </w:t>
      </w:r>
      <w:bookmarkStart w:id="20" w:name="Bookmark_I695SG232HM6T00020000400"/>
      <w:bookmarkEnd w:id="20"/>
      <w:r>
        <w:rPr>
          <w:rFonts w:ascii="arial" w:eastAsia="arial" w:hAnsi="arial" w:cs="arial"/>
          <w:b w:val="0"/>
          <w:i/>
          <w:strike w:val="0"/>
          <w:noProof w:val="0"/>
          <w:color w:val="000000"/>
          <w:position w:val="0"/>
          <w:sz w:val="18"/>
          <w:u w:val="none"/>
          <w:vertAlign w:val="baseline"/>
        </w:rPr>
        <w:t xml:space="preserve">Davenport v. </w:t>
      </w:r>
      <w:r>
        <w:rPr>
          <w:rFonts w:ascii="arial" w:eastAsia="arial" w:hAnsi="arial" w:cs="arial"/>
          <w:b w:val="0"/>
          <w:i/>
          <w:strike w:val="0"/>
          <w:noProof w:val="0"/>
          <w:color w:val="000000"/>
          <w:position w:val="0"/>
          <w:sz w:val="18"/>
          <w:u w:val="none"/>
          <w:vertAlign w:val="baseline"/>
        </w:rPr>
        <w:t>State</w:t>
      </w:r>
      <w:r>
        <w:rPr>
          <w:rFonts w:ascii="arial" w:eastAsia="arial" w:hAnsi="arial" w:cs="arial"/>
          <w:b w:val="0"/>
          <w:i w:val="0"/>
          <w:strike w:val="0"/>
          <w:noProof w:val="0"/>
          <w:color w:val="000000"/>
          <w:position w:val="0"/>
          <w:sz w:val="18"/>
          <w:u w:val="none"/>
          <w:vertAlign w:val="baseline"/>
        </w:rPr>
        <w:t>, 309 Ga. 385, 392 (4) (846 SE2d 83) (2020) (holding that we no longer routinely review the sufficiency of the evidence in non-death penalty cases).</w:t>
      </w:r>
    </w:p>
  </w:footnote>
  <w:footnote w:id="7">
    <w:p>
      <w:pPr>
        <w:spacing w:before="200" w:line="240" w:lineRule="atLeast"/>
        <w:jc w:val="both"/>
      </w:pPr>
      <w:r>
        <w:rPr>
          <w:rFonts w:ascii="arial" w:eastAsia="arial" w:hAnsi="arial" w:cs="arial"/>
          <w:b w:val="0"/>
          <w:i w:val="0"/>
          <w:strike w:val="0"/>
          <w:noProof w:val="0"/>
          <w:color w:val="000000"/>
          <w:position w:val="0"/>
          <w:sz w:val="18"/>
          <w:u w:val="none"/>
          <w:vertAlign w:val="superscript"/>
        </w:rPr>
        <w:t>6 </w:t>
      </w:r>
      <w:bookmarkStart w:id="29" w:name="Bookmark_fnpara_6"/>
      <w:bookmarkEnd w:id="29"/>
      <w:r>
        <w:rPr>
          <w:rFonts w:ascii="arial" w:eastAsia="arial" w:hAnsi="arial" w:cs="arial"/>
          <w:b w:val="0"/>
          <w:i w:val="0"/>
          <w:strike w:val="0"/>
          <w:noProof w:val="0"/>
          <w:color w:val="000000"/>
          <w:position w:val="0"/>
          <w:sz w:val="18"/>
          <w:u w:val="none"/>
          <w:vertAlign w:val="baseline"/>
        </w:rPr>
        <w:t xml:space="preserve">Although </w:t>
      </w:r>
      <w:r>
        <w:rPr>
          <w:rFonts w:ascii="arial" w:eastAsia="arial" w:hAnsi="arial" w:cs="arial"/>
          <w:b w:val="0"/>
          <w:i w:val="0"/>
          <w:strike w:val="0"/>
          <w:noProof w:val="0"/>
          <w:color w:val="000000"/>
          <w:position w:val="0"/>
          <w:sz w:val="18"/>
          <w:u w:val="none"/>
          <w:vertAlign w:val="baseline"/>
        </w:rPr>
        <w:t>Randolph</w:t>
      </w:r>
      <w:r>
        <w:rPr>
          <w:rFonts w:ascii="arial" w:eastAsia="arial" w:hAnsi="arial" w:cs="arial"/>
          <w:b w:val="0"/>
          <w:i w:val="0"/>
          <w:strike w:val="0"/>
          <w:noProof w:val="0"/>
          <w:color w:val="000000"/>
          <w:position w:val="0"/>
          <w:sz w:val="18"/>
          <w:u w:val="none"/>
          <w:vertAlign w:val="baseline"/>
        </w:rPr>
        <w:t xml:space="preserve"> argues that the trial court improperly admitted the evidence to show identity, there is no indication in the record that the </w:t>
      </w:r>
      <w:r>
        <w:rPr>
          <w:rFonts w:ascii="arial" w:eastAsia="arial" w:hAnsi="arial" w:cs="arial"/>
          <w:b w:val="0"/>
          <w:i w:val="0"/>
          <w:strike w:val="0"/>
          <w:noProof w:val="0"/>
          <w:color w:val="000000"/>
          <w:position w:val="0"/>
          <w:sz w:val="18"/>
          <w:u w:val="none"/>
          <w:vertAlign w:val="baseline"/>
        </w:rPr>
        <w:t>State</w:t>
      </w:r>
      <w:r>
        <w:rPr>
          <w:rFonts w:ascii="arial" w:eastAsia="arial" w:hAnsi="arial" w:cs="arial"/>
          <w:b w:val="0"/>
          <w:i w:val="0"/>
          <w:strike w:val="0"/>
          <w:noProof w:val="0"/>
          <w:color w:val="000000"/>
          <w:position w:val="0"/>
          <w:sz w:val="18"/>
          <w:u w:val="none"/>
          <w:vertAlign w:val="baseline"/>
        </w:rPr>
        <w:t xml:space="preserve"> sought to introduce the evidence for this purpose or that the trial court included identity as one of the limited purposes for admission of the evidence.</w:t>
      </w:r>
    </w:p>
  </w:footnote>
  <w:footnote w:id="8">
    <w:p>
      <w:pPr>
        <w:spacing w:before="200" w:line="240" w:lineRule="atLeast"/>
        <w:jc w:val="both"/>
      </w:pPr>
      <w:r>
        <w:rPr>
          <w:rFonts w:ascii="arial" w:eastAsia="arial" w:hAnsi="arial" w:cs="arial"/>
          <w:b w:val="0"/>
          <w:i w:val="0"/>
          <w:strike w:val="0"/>
          <w:noProof w:val="0"/>
          <w:color w:val="000000"/>
          <w:position w:val="0"/>
          <w:sz w:val="18"/>
          <w:u w:val="none"/>
          <w:vertAlign w:val="superscript"/>
        </w:rPr>
        <w:t>7 </w:t>
      </w:r>
      <w:bookmarkStart w:id="33" w:name="Bookmark_fnpara_7"/>
      <w:bookmarkEnd w:id="33"/>
      <w:r>
        <w:rPr>
          <w:rFonts w:ascii="arial" w:eastAsia="arial" w:hAnsi="arial" w:cs="arial"/>
          <w:b w:val="0"/>
          <w:i w:val="0"/>
          <w:strike w:val="0"/>
          <w:noProof w:val="0"/>
          <w:color w:val="000000"/>
          <w:position w:val="0"/>
          <w:sz w:val="18"/>
          <w:u w:val="none"/>
          <w:vertAlign w:val="baseline"/>
        </w:rPr>
        <w:t>Randolph</w:t>
      </w:r>
      <w:r>
        <w:rPr>
          <w:rFonts w:ascii="arial" w:eastAsia="arial" w:hAnsi="arial" w:cs="arial"/>
          <w:b w:val="0"/>
          <w:i w:val="0"/>
          <w:strike w:val="0"/>
          <w:noProof w:val="0"/>
          <w:color w:val="000000"/>
          <w:position w:val="0"/>
          <w:sz w:val="18"/>
          <w:u w:val="none"/>
          <w:vertAlign w:val="baseline"/>
        </w:rPr>
        <w:t xml:space="preserve"> does not challenge the third prong with respect to his 2000 armed robbery conviction.</w:t>
      </w:r>
    </w:p>
  </w:footnote>
  <w:footnote w:id="9">
    <w:p>
      <w:pPr>
        <w:spacing w:before="200" w:line="240" w:lineRule="atLeast"/>
        <w:jc w:val="both"/>
      </w:pPr>
      <w:r>
        <w:rPr>
          <w:rFonts w:ascii="arial" w:eastAsia="arial" w:hAnsi="arial" w:cs="arial"/>
          <w:b w:val="0"/>
          <w:i w:val="0"/>
          <w:strike w:val="0"/>
          <w:noProof w:val="0"/>
          <w:color w:val="000000"/>
          <w:position w:val="0"/>
          <w:sz w:val="18"/>
          <w:u w:val="none"/>
          <w:vertAlign w:val="superscript"/>
        </w:rPr>
        <w:t>8 </w:t>
      </w:r>
      <w:bookmarkStart w:id="56" w:name="Bookmark_fnpara_8"/>
      <w:bookmarkEnd w:id="56"/>
      <w:r>
        <w:rPr>
          <w:rFonts w:ascii="arial" w:eastAsia="arial" w:hAnsi="arial" w:cs="arial"/>
          <w:b w:val="0"/>
          <w:i w:val="0"/>
          <w:strike w:val="0"/>
          <w:noProof w:val="0"/>
          <w:color w:val="000000"/>
          <w:position w:val="0"/>
          <w:sz w:val="18"/>
          <w:u w:val="none"/>
          <w:vertAlign w:val="baseline"/>
        </w:rPr>
        <w:t xml:space="preserve">We note also that </w:t>
      </w:r>
      <w:r>
        <w:rPr>
          <w:rFonts w:ascii="arial" w:eastAsia="arial" w:hAnsi="arial" w:cs="arial"/>
          <w:b w:val="0"/>
          <w:i w:val="0"/>
          <w:strike w:val="0"/>
          <w:noProof w:val="0"/>
          <w:color w:val="000000"/>
          <w:position w:val="0"/>
          <w:sz w:val="18"/>
          <w:u w:val="none"/>
          <w:vertAlign w:val="baseline"/>
        </w:rPr>
        <w:t>Randolph</w:t>
      </w:r>
      <w:r>
        <w:rPr>
          <w:rFonts w:ascii="arial" w:eastAsia="arial" w:hAnsi="arial" w:cs="arial"/>
          <w:b w:val="0"/>
          <w:i w:val="0"/>
          <w:strike w:val="0"/>
          <w:noProof w:val="0"/>
          <w:color w:val="000000"/>
          <w:position w:val="0"/>
          <w:sz w:val="18"/>
          <w:u w:val="none"/>
          <w:vertAlign w:val="baseline"/>
        </w:rPr>
        <w:t xml:space="preserve"> has not challenged the trial court's instruction regarding the purposes for which the other-acts evidence could be considered.</w:t>
      </w:r>
    </w:p>
  </w:footnote>
  <w:footnote w:id="10">
    <w:p>
      <w:pPr>
        <w:spacing w:before="200" w:line="240" w:lineRule="atLeast"/>
        <w:jc w:val="both"/>
      </w:pPr>
      <w:r>
        <w:rPr>
          <w:rFonts w:ascii="arial" w:eastAsia="arial" w:hAnsi="arial" w:cs="arial"/>
          <w:b w:val="0"/>
          <w:i w:val="0"/>
          <w:strike w:val="0"/>
          <w:noProof w:val="0"/>
          <w:color w:val="000000"/>
          <w:position w:val="0"/>
          <w:sz w:val="18"/>
          <w:u w:val="none"/>
          <w:vertAlign w:val="superscript"/>
        </w:rPr>
        <w:t>9 </w:t>
      </w:r>
      <w:bookmarkStart w:id="66" w:name="Bookmark_fnpara_9"/>
      <w:bookmarkEnd w:id="66"/>
      <w:r>
        <w:rPr>
          <w:rFonts w:ascii="arial" w:eastAsia="arial" w:hAnsi="arial" w:cs="arial"/>
          <w:b w:val="0"/>
          <w:i w:val="0"/>
          <w:strike w:val="0"/>
          <w:noProof w:val="0"/>
          <w:color w:val="000000"/>
          <w:position w:val="0"/>
          <w:sz w:val="18"/>
          <w:u w:val="none"/>
          <w:vertAlign w:val="baseline"/>
        </w:rPr>
        <w:t xml:space="preserve">The homeowner did not identify </w:t>
      </w:r>
      <w:r>
        <w:rPr>
          <w:rFonts w:ascii="arial" w:eastAsia="arial" w:hAnsi="arial" w:cs="arial"/>
          <w:b w:val="0"/>
          <w:i w:val="0"/>
          <w:strike w:val="0"/>
          <w:noProof w:val="0"/>
          <w:color w:val="000000"/>
          <w:position w:val="0"/>
          <w:sz w:val="18"/>
          <w:u w:val="none"/>
          <w:vertAlign w:val="baseline"/>
        </w:rPr>
        <w:t>Randolph</w:t>
      </w:r>
      <w:r>
        <w:rPr>
          <w:rFonts w:ascii="arial" w:eastAsia="arial" w:hAnsi="arial" w:cs="arial"/>
          <w:b w:val="0"/>
          <w:i w:val="0"/>
          <w:strike w:val="0"/>
          <w:noProof w:val="0"/>
          <w:color w:val="000000"/>
          <w:position w:val="0"/>
          <w:sz w:val="18"/>
          <w:u w:val="none"/>
          <w:vertAlign w:val="baseline"/>
        </w:rPr>
        <w:t xml:space="preserve">, but testified that he had not given him permission to enter his home. Two witnesses testified as to their collection and analysis of the fingerprints found in the home that matched </w:t>
      </w:r>
      <w:r>
        <w:rPr>
          <w:rFonts w:ascii="arial" w:eastAsia="arial" w:hAnsi="arial" w:cs="arial"/>
          <w:b w:val="0"/>
          <w:i w:val="0"/>
          <w:strike w:val="0"/>
          <w:noProof w:val="0"/>
          <w:color w:val="000000"/>
          <w:position w:val="0"/>
          <w:sz w:val="18"/>
          <w:u w:val="none"/>
          <w:vertAlign w:val="baseline"/>
        </w:rPr>
        <w:t>Randolph</w:t>
      </w:r>
      <w:r>
        <w:rPr>
          <w:rFonts w:ascii="arial" w:eastAsia="arial" w:hAnsi="arial" w:cs="arial"/>
          <w:b w:val="0"/>
          <w:i w:val="0"/>
          <w:strike w:val="0"/>
          <w:noProof w:val="0"/>
          <w:color w:val="000000"/>
          <w:position w:val="0"/>
          <w:sz w:val="18"/>
          <w:u w:val="none"/>
          <w:vertAlign w:val="baseline"/>
        </w:rPr>
        <w:t xml:space="preserve">'s. A final witness briefly testified regarding the warrant for </w:t>
      </w:r>
      <w:r>
        <w:rPr>
          <w:rFonts w:ascii="arial" w:eastAsia="arial" w:hAnsi="arial" w:cs="arial"/>
          <w:b w:val="0"/>
          <w:i w:val="0"/>
          <w:strike w:val="0"/>
          <w:noProof w:val="0"/>
          <w:color w:val="000000"/>
          <w:position w:val="0"/>
          <w:sz w:val="18"/>
          <w:u w:val="none"/>
          <w:vertAlign w:val="baseline"/>
        </w:rPr>
        <w:t>Randolph</w:t>
      </w:r>
      <w:r>
        <w:rPr>
          <w:rFonts w:ascii="arial" w:eastAsia="arial" w:hAnsi="arial" w:cs="arial"/>
          <w:b w:val="0"/>
          <w:i w:val="0"/>
          <w:strike w:val="0"/>
          <w:noProof w:val="0"/>
          <w:color w:val="000000"/>
          <w:position w:val="0"/>
          <w:sz w:val="18"/>
          <w:u w:val="none"/>
          <w:vertAlign w:val="baseline"/>
        </w:rPr>
        <w:t>'s arrest, which remained open.</w:t>
      </w:r>
    </w:p>
  </w:footnote>
  <w:footnote w:id="11">
    <w:p>
      <w:pPr>
        <w:spacing w:before="200" w:line="240" w:lineRule="atLeast"/>
        <w:jc w:val="both"/>
      </w:pPr>
      <w:r>
        <w:rPr>
          <w:rFonts w:ascii="arial" w:eastAsia="arial" w:hAnsi="arial" w:cs="arial"/>
          <w:b w:val="0"/>
          <w:i w:val="0"/>
          <w:strike w:val="0"/>
          <w:noProof w:val="0"/>
          <w:color w:val="000000"/>
          <w:position w:val="0"/>
          <w:sz w:val="18"/>
          <w:u w:val="none"/>
          <w:vertAlign w:val="superscript"/>
        </w:rPr>
        <w:t>10 </w:t>
      </w:r>
      <w:bookmarkStart w:id="67" w:name="Bookmark_fnpara_10"/>
      <w:bookmarkEnd w:id="67"/>
      <w:r>
        <w:rPr>
          <w:rFonts w:ascii="arial" w:eastAsia="arial" w:hAnsi="arial" w:cs="arial"/>
          <w:b w:val="0"/>
          <w:i w:val="0"/>
          <w:strike w:val="0"/>
          <w:noProof w:val="0"/>
          <w:color w:val="000000"/>
          <w:position w:val="0"/>
          <w:sz w:val="18"/>
          <w:u w:val="none"/>
          <w:vertAlign w:val="baseline"/>
        </w:rPr>
        <w:t xml:space="preserve">Although </w:t>
      </w:r>
      <w:r>
        <w:rPr>
          <w:rFonts w:ascii="arial" w:eastAsia="arial" w:hAnsi="arial" w:cs="arial"/>
          <w:b w:val="0"/>
          <w:i w:val="0"/>
          <w:strike w:val="0"/>
          <w:noProof w:val="0"/>
          <w:color w:val="000000"/>
          <w:position w:val="0"/>
          <w:sz w:val="18"/>
          <w:u w:val="none"/>
          <w:vertAlign w:val="baseline"/>
        </w:rPr>
        <w:t>Randolph</w:t>
      </w:r>
      <w:r>
        <w:rPr>
          <w:rFonts w:ascii="arial" w:eastAsia="arial" w:hAnsi="arial" w:cs="arial"/>
          <w:b w:val="0"/>
          <w:i w:val="0"/>
          <w:strike w:val="0"/>
          <w:noProof w:val="0"/>
          <w:color w:val="000000"/>
          <w:position w:val="0"/>
          <w:sz w:val="18"/>
          <w:u w:val="none"/>
          <w:vertAlign w:val="baseline"/>
        </w:rPr>
        <w:t xml:space="preserve"> argues that the jury was told that he had not been arrested or punished in connection with the burglary, the jury was also told that the arrest warrant was still active, meaning that he could still face punishment in South Carolina.</w:t>
      </w:r>
    </w:p>
  </w:footnote>
</w:footnotes>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tc>
    </w:tr>
    <w:tr>
      <w:tblPrEx>
        <w:tblW w:w="10080" w:type="dxa"/>
        <w:tblLayout w:type="fixed"/>
      </w:tblPrEx>
      <w:tc>
        <w:tcPr>
          <w:tcW w:w="10080" w:type="dxa"/>
        </w:tcPr>
        <w:p>
          <w:pPr>
            <w:spacing w:before="60" w:after="200"/>
            <w:jc w:val="center"/>
          </w:pPr>
          <w:r>
            <w:rPr>
              <w:rFonts w:ascii="arial" w:eastAsia="arial" w:hAnsi="arial" w:cs="arial"/>
              <w:sz w:val="20"/>
            </w:rPr>
            <w:t>Randolph v. State</w:t>
          </w:r>
        </w:p>
      </w:tc>
    </w:tr>
  </w:tbl>
</w:hdr>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oofState w:grammar="clean"/>
  <w:stylePaneFormatFilter w:val="3F01"/>
  <w:defaultTabStop w:val="720"/>
  <w:noPunctuationKerning/>
  <w:characterSpacingControl w:val="doNotCompress"/>
  <w:footnotePr>
    <w:footnote w:id="0"/>
    <w:footnote w:id="1"/>
  </w:footnotePr>
  <w:compat>
    <w:useWord2002TableStyleRules/>
    <w:growAutofi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
  <w:rsids>
    <w:rsidRoot w:val="00A77B3E"/>
    <w:rsid w:val="00A77B3E"/>
    <w:rsid w:val="00CA2A55"/>
  </w:rsids>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r="http://schemas.openxmlformats.org/officeDocument/2006/relationships" xmlns:w="http://schemas.openxmlformats.org/wordprocessingml/2006/main">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267">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atentStyles>
  <w:style w:type="paragraph" w:default="1" w:styleId="Normal">
    <w:name w:val="Normal"/>
    <w:qFormat/>
    <w:rPr>
      <w:sz w:val="24"/>
      <w:szCs w:val="24"/>
    </w:rPr>
  </w:style>
  <w:style w:type="paragraph" w:styleId="Heading1">
    <w:name w:val="heading 1"/>
    <w:basedOn w:val="Normal"/>
    <w:next w:val="Normal"/>
    <w:qFormat/>
    <w:rsid w:val="00EF7B96"/>
    <w:pPr>
      <w:keepNext/>
      <w:spacing w:before="240" w:after="60"/>
      <w:outlineLvl w:val="0"/>
    </w:pPr>
    <w:rPr>
      <w:rFonts w:ascii="Arial" w:hAnsi="Arial" w:cs="Arial"/>
      <w:b/>
      <w:bCs/>
      <w:kern w:val="32"/>
      <w:sz w:val="32"/>
      <w:szCs w:val="32"/>
    </w:rPr>
  </w:style>
  <w:style w:type="character" w:default="1" w:styleId="DefaultParagraphFont">
    <w:name w:val="Default Paragraph Font"/>
    <w:semiHidden/>
  </w:style>
  <w:style w:type="table" w:default="1" w:styleId="TableNormal">
    <w:name w:val="Normal Table"/>
    <w:semiHidden/>
    <w:tblPr>
      <w:tblInd w:w="0" w:type="dxa"/>
      <w:tblCellMar>
        <w:top w:w="0" w:type="dxa"/>
        <w:left w:w="108" w:type="dxa"/>
        <w:bottom w:w="0" w:type="dxa"/>
        <w:right w:w="108" w:type="dxa"/>
      </w:tblCellMar>
    </w:tblPr>
  </w:style>
  <w:style w:type="numbering" w:default="1" w:styleId="NoList">
    <w:name w:val="No List"/>
    <w:semiHidden/>
  </w:style>
</w:styles>
</file>

<file path=word/webSettings.xml><?xml version="1.0" encoding="utf-8"?>
<w:webSettings xmlns:r="http://schemas.openxmlformats.org/officeDocument/2006/relationships" xmlns:w="http://schemas.openxmlformats.org/wordprocessingml/2006/main"/>
</file>

<file path=word/_rels/document.xml.rels><?xml version="1.0" encoding="utf-8" standalone="yes"?><Relationships xmlns="http://schemas.openxmlformats.org/package/2006/relationships"><Relationship Id="rId1" Type="http://schemas.openxmlformats.org/officeDocument/2006/relationships/footnotes" Target="footnotes.xml" /><Relationship Id="rId2" Type="http://schemas.openxmlformats.org/officeDocument/2006/relationships/settings" Target="settings.xml" /><Relationship Id="rId3" Type="http://schemas.openxmlformats.org/officeDocument/2006/relationships/webSettings" Target="webSettings.xml" /><Relationship Id="rId4" Type="http://schemas.openxmlformats.org/officeDocument/2006/relationships/fontTable" Target="fontTable.xml" /><Relationship Id="rId5" Type="http://schemas.openxmlformats.org/officeDocument/2006/relationships/header" Target="header1.xml" /><Relationship Id="rId6" Type="http://schemas.openxmlformats.org/officeDocument/2006/relationships/footer" Target="footer1.xml" /><Relationship Id="rId7" Type="http://schemas.openxmlformats.org/officeDocument/2006/relationships/footer" Target="footer2.xml" /><Relationship Id="rId8" Type="http://schemas.openxmlformats.org/officeDocument/2006/relationships/theme" Target="theme/theme1.xml" /><Relationship Id="rId9" Type="http://schemas.openxmlformats.org/officeDocument/2006/relationships/styles" Target="styles.xm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Template>
  <TotalTime>0</TotalTime>
  <Pages>1</Pages>
  <Words>0</Words>
  <Characters>0</Characters>
  <Application>Microsoft Office Word</Application>
  <DocSecurity>0</DocSecurity>
  <Lines>1</Lines>
  <Paragraphs>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Randolph v. State</dc:title>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LADocCount">
    <vt:lpwstr>1</vt:lpwstr>
  </property>
  <property fmtid="{D5CDD505-2E9C-101B-9397-08002B2CF9AE}" pid="3" name="LADocumentID:urn:contentItem:690G-G851-F8KH-X4TW-00000-00">
    <vt:lpwstr>Doc::/shared/document|contextualFeaturePermID::1530671</vt:lpwstr>
  </property>
  <property fmtid="{D5CDD505-2E9C-101B-9397-08002B2CF9AE}" pid="4" name="LNDeliveryID">
    <vt:lpwstr>279748379</vt:lpwstr>
  </property>
  <property fmtid="{D5CDD505-2E9C-101B-9397-08002B2CF9AE}" pid="5" name="UserPermID">
    <vt:lpwstr>urn:user:PA197239389</vt:lpwstr>
  </property>
</Properties>
</file>