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State</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v</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Brantley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S25A0208</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321 Ga. 370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914 S.E.2d 807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77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32397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BRANTLEY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etc. Fulton Superior Court. Before Judge Edwards.</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7"/>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Fani T. Willis, District Attorney, Michael S. Carlson, Kevin C. Armstrong, Assistant District Attorneys; Christopher M. Carr, Attorney General, Beth A. Burton, Deputy Attorney General, Meghan H. Hill, Senior Assistant Attorney General</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Stephen R. Scarborough, Jennifer Lubinsky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PETERSON, Chief Justice. Warren, PJ, and Bethel, Ellington, McMillian, LaGrua, Colvin, and Pinson,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PETERSON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[*370]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[**808]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Peterson</w:t>
      </w:r>
      <w:r>
        <w:rPr>
          <w:rFonts w:ascii="arial" w:eastAsia="arial" w:hAnsi="arial" w:cs="arial"/>
          <w:b w:val="0"/>
          <w:i w:val="0"/>
          <w:strike w:val="0"/>
          <w:noProof w:val="0"/>
          <w:color w:val="000000"/>
          <w:position w:val="0"/>
          <w:sz w:val="20"/>
          <w:u w:val="none"/>
          <w:vertAlign w:val="baseline"/>
        </w:rPr>
        <w:t>, Chief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appeals an order excluding incriminating phone calls Barron Brantley made while incarcerated in jail before his trial; the State brings that appeal under </w:t>
      </w:r>
      <w:hyperlink r:id="rId13" w:history="1">
        <w:r>
          <w:rPr>
            <w:rFonts w:ascii="arial" w:eastAsia="arial" w:hAnsi="arial" w:cs="arial"/>
            <w:b w:val="0"/>
            <w:i/>
            <w:strike w:val="0"/>
            <w:noProof w:val="0"/>
            <w:color w:val="0077CC"/>
            <w:position w:val="0"/>
            <w:sz w:val="20"/>
            <w:u w:val="single"/>
            <w:shd w:val="clear" w:color="auto" w:fill="FFFFFF"/>
            <w:vertAlign w:val="baseline"/>
          </w:rPr>
          <w:t>OCGA § 5-7-1 (a) (4)</w:t>
        </w:r>
      </w:hyperlink>
      <w:r>
        <w:rPr>
          <w:rFonts w:ascii="arial" w:eastAsia="arial" w:hAnsi="arial" w:cs="arial"/>
          <w:b w:val="0"/>
          <w:i w:val="0"/>
          <w:strike w:val="0"/>
          <w:noProof w:val="0"/>
          <w:color w:val="000000"/>
          <w:position w:val="0"/>
          <w:sz w:val="20"/>
          <w:u w:val="none"/>
          <w:vertAlign w:val="baseline"/>
        </w:rPr>
        <w:t xml:space="preserve">. As an initial matter, we conclude that our unchallenged precedent permits the State to appeal this order under </w:t>
      </w:r>
      <w:hyperlink r:id="rId14" w:history="1">
        <w:r>
          <w:rPr>
            <w:rFonts w:ascii="arial" w:eastAsia="arial" w:hAnsi="arial" w:cs="arial"/>
            <w:b w:val="0"/>
            <w:i/>
            <w:strike w:val="0"/>
            <w:noProof w:val="0"/>
            <w:color w:val="0077CC"/>
            <w:position w:val="0"/>
            <w:sz w:val="20"/>
            <w:u w:val="single"/>
            <w:shd w:val="clear" w:color="auto" w:fill="FFFFFF"/>
            <w:vertAlign w:val="baseline"/>
          </w:rPr>
          <w:t>OCGA § 5-7-1 (a) (4)</w:t>
        </w:r>
      </w:hyperlink>
      <w:r>
        <w:rPr>
          <w:rFonts w:ascii="arial" w:eastAsia="arial" w:hAnsi="arial" w:cs="arial"/>
          <w:b w:val="0"/>
          <w:i w:val="0"/>
          <w:strike w:val="0"/>
          <w:noProof w:val="0"/>
          <w:color w:val="000000"/>
          <w:position w:val="0"/>
          <w:sz w:val="20"/>
          <w:u w:val="none"/>
          <w:vertAlign w:val="baseline"/>
        </w:rPr>
        <w:t>. And on the merits, the trial court made two errors. It erred in holding that the District Attorney's access to the recorded calls violated Brantley's state and federal rights to privacy, because our precedent makes clear Brantley had no reasonable expectation of privacy in recorded jail calls not made to counsel. And the trial court also erred in holding that Brantley's equal protection rights were violated when compared to nonincarcerated people; Brantley is incarcerated, and so is not similarly situated to such people, and the State has a rational basis to treat him differently. We reverse.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Brantley is charged with malice murder, felony murder, aggravated assault, false imprisonment, concealing a death, rape, and aggravated sexual battery in connection with the sexual</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assault and murder of Alexis Janaé Crawford. While awaiting trial, Brantley was incarcerated in the Fulton County jail, where he made multiple incriminating statements to others on the jail phones. None of the calls were to his attorney. The jail phones are monitored and recorded by the Fulton County Sheriff's Office, and an automated message at</w:t>
      </w:r>
      <w:r>
        <w:rPr>
          <w:rFonts w:ascii="arial" w:eastAsia="arial" w:hAnsi="arial" w:cs="arial"/>
          <w:b w:val="0"/>
          <w:i w:val="0"/>
          <w:strike w:val="0"/>
          <w:noProof w:val="0"/>
          <w:color w:val="000000"/>
          <w:position w:val="0"/>
          <w:sz w:val="20"/>
          <w:u w:val="none"/>
          <w:vertAlign w:val="baseline"/>
        </w:rPr>
        <w:t> [*371] </w:t>
      </w:r>
      <w:r>
        <w:rPr>
          <w:rFonts w:ascii="arial" w:eastAsia="arial" w:hAnsi="arial" w:cs="arial"/>
          <w:b w:val="0"/>
          <w:i w:val="0"/>
          <w:strike w:val="0"/>
          <w:noProof w:val="0"/>
          <w:color w:val="000000"/>
          <w:position w:val="0"/>
          <w:sz w:val="20"/>
          <w:u w:val="none"/>
          <w:vertAlign w:val="baseline"/>
        </w:rPr>
        <w:t xml:space="preserve"> the beginning of each call informed Brantley that his calls were monitored and recorded. The Fulton County District Attorney's Office reviewed Brantley's calls and sought to use three calls at trial.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weeks before his scheduled trial, Brantley filed a “motion in limine to exclude jail telephone calls” arguing that the use of the calls by the District Attorney's Office violated the </w:t>
      </w:r>
      <w:hyperlink r:id="rId15" w:history="1">
        <w:r>
          <w:rPr>
            <w:rFonts w:ascii="arial" w:eastAsia="arial" w:hAnsi="arial" w:cs="arial"/>
            <w:b w:val="0"/>
            <w:i/>
            <w:strike w:val="0"/>
            <w:noProof w:val="0"/>
            <w:color w:val="0077CC"/>
            <w:position w:val="0"/>
            <w:sz w:val="20"/>
            <w:u w:val="single"/>
            <w:shd w:val="clear" w:color="auto" w:fill="FFFFFF"/>
            <w:vertAlign w:val="baseline"/>
          </w:rPr>
          <w:t>Due Process</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shd w:val="clear" w:color="auto" w:fill="FFFFFF"/>
            <w:vertAlign w:val="baseline"/>
          </w:rPr>
          <w:t>Equal Protection Clauses of the Fourteenth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and the right to privacy in the Georgia Constitution and under the </w:t>
      </w:r>
      <w:hyperlink r:id="rId17" w:history="1">
        <w:r>
          <w:rPr>
            <w:rFonts w:ascii="arial" w:eastAsia="arial" w:hAnsi="arial" w:cs="arial"/>
            <w:b w:val="0"/>
            <w:i/>
            <w:strike w:val="0"/>
            <w:noProof w:val="0"/>
            <w:color w:val="0077CC"/>
            <w:position w:val="0"/>
            <w:sz w:val="20"/>
            <w:u w:val="single"/>
            <w:shd w:val="clear" w:color="auto" w:fill="FFFFFF"/>
            <w:vertAlign w:val="baseline"/>
          </w:rPr>
          <w:t>Fourth Amendment to the United States Constitution</w:t>
        </w:r>
      </w:hyperlink>
      <w:r>
        <w:rPr>
          <w:rFonts w:ascii="arial" w:eastAsia="arial" w:hAnsi="arial" w:cs="arial"/>
          <w:b w:val="0"/>
          <w:i w:val="0"/>
          <w:strike w:val="0"/>
          <w:noProof w:val="0"/>
          <w:color w:val="000000"/>
          <w:position w:val="0"/>
          <w:sz w:val="20"/>
          <w:u w:val="none"/>
          <w:vertAlign w:val="baseline"/>
        </w:rPr>
        <w:t>. Brantley also argued that the calls should be excluded because they referenced inadmissible evidence, such as Brantley's prior criminal history, Brantley's previous statements to police, and news media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hearing, the trial court granted Brantley's motion to exclude the jail </w:t>
      </w:r>
      <w:r>
        <w:rPr>
          <w:rFonts w:ascii="arial" w:eastAsia="arial" w:hAnsi="arial" w:cs="arial"/>
          <w:b w:val="0"/>
          <w:i w:val="0"/>
          <w:strike w:val="0"/>
          <w:noProof w:val="0"/>
          <w:color w:val="000000"/>
          <w:position w:val="0"/>
          <w:sz w:val="20"/>
          <w:u w:val="none"/>
          <w:vertAlign w:val="baseline"/>
        </w:rPr>
        <w:t> [**809] </w:t>
      </w:r>
      <w:r>
        <w:rPr>
          <w:rFonts w:ascii="arial" w:eastAsia="arial" w:hAnsi="arial" w:cs="arial"/>
          <w:b w:val="0"/>
          <w:i w:val="0"/>
          <w:strike w:val="0"/>
          <w:noProof w:val="0"/>
          <w:color w:val="000000"/>
          <w:position w:val="0"/>
          <w:sz w:val="20"/>
          <w:u w:val="none"/>
          <w:vertAlign w:val="baseline"/>
        </w:rPr>
        <w:t xml:space="preserve"> phone calls, reasoning that the District Attorney's Office's “acquisition” of, and “access”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Brantley's jail phone calls violated his federal equal protection rights and right to privacy under the federal and state constitutions. The State filed a timely notice of appeal, citing </w:t>
      </w:r>
      <w:hyperlink r:id="rId18" w:history="1">
        <w:r>
          <w:rPr>
            <w:rFonts w:ascii="arial" w:eastAsia="arial" w:hAnsi="arial" w:cs="arial"/>
            <w:b w:val="0"/>
            <w:i/>
            <w:strike w:val="0"/>
            <w:noProof w:val="0"/>
            <w:color w:val="0077CC"/>
            <w:position w:val="0"/>
            <w:sz w:val="20"/>
            <w:u w:val="single"/>
            <w:shd w:val="clear" w:color="auto" w:fill="FFFFFF"/>
            <w:vertAlign w:val="baseline"/>
          </w:rPr>
          <w:t>OCGA § 5-7-1 (a) (4)</w:t>
        </w:r>
      </w:hyperlink>
      <w:r>
        <w:rPr>
          <w:rFonts w:ascii="arial" w:eastAsia="arial" w:hAnsi="arial" w:cs="arial"/>
          <w:b w:val="0"/>
          <w:i w:val="0"/>
          <w:strike w:val="0"/>
          <w:noProof w:val="0"/>
          <w:color w:val="000000"/>
          <w:position w:val="0"/>
          <w:sz w:val="20"/>
          <w:u w:val="none"/>
          <w:vertAlign w:val="baseline"/>
        </w:rPr>
        <w:t xml:space="preserve"> as the statutory basis for its appeal.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bookmarkStart w:id="9" w:name="Bookmark_I6FR9GVK2HM61H0020000400"/>
      <w:bookmarkEnd w:id="9"/>
      <w:r>
        <w:rPr>
          <w:rFonts w:ascii="arial" w:eastAsia="arial" w:hAnsi="arial" w:cs="arial"/>
          <w:b w:val="0"/>
          <w:i w:val="0"/>
          <w:strike w:val="0"/>
          <w:noProof w:val="0"/>
          <w:color w:val="000000"/>
          <w:position w:val="0"/>
          <w:sz w:val="20"/>
          <w:u w:val="none"/>
          <w:vertAlign w:val="baseline"/>
        </w:rPr>
        <w:t xml:space="preserve">As a preliminary matter, we address Brantley's argument that the State's appeal should be dismissed because (1) the State is not authorized to appeal under </w:t>
      </w:r>
      <w:hyperlink r:id="rId19" w:history="1">
        <w:r>
          <w:rPr>
            <w:rFonts w:ascii="arial" w:eastAsia="arial" w:hAnsi="arial" w:cs="arial"/>
            <w:b w:val="0"/>
            <w:i/>
            <w:strike w:val="0"/>
            <w:noProof w:val="0"/>
            <w:color w:val="0077CC"/>
            <w:position w:val="0"/>
            <w:sz w:val="20"/>
            <w:u w:val="single"/>
            <w:shd w:val="clear" w:color="auto" w:fill="FFFFFF"/>
            <w:vertAlign w:val="baseline"/>
          </w:rPr>
          <w:t>OCGA § 5-7-1 (a) (4)</w:t>
        </w:r>
      </w:hyperlink>
      <w:r>
        <w:rPr>
          <w:rFonts w:ascii="arial" w:eastAsia="arial" w:hAnsi="arial" w:cs="arial"/>
          <w:b w:val="0"/>
          <w:i w:val="0"/>
          <w:strike w:val="0"/>
          <w:noProof w:val="0"/>
          <w:color w:val="000000"/>
          <w:position w:val="0"/>
          <w:sz w:val="20"/>
          <w:u w:val="none"/>
          <w:vertAlign w:val="baseline"/>
        </w:rPr>
        <w:t xml:space="preserve"> and (2) it failed to comply with the requirements of </w:t>
      </w:r>
      <w:hyperlink r:id="rId20" w:history="1">
        <w:r>
          <w:rPr>
            <w:rFonts w:ascii="arial" w:eastAsia="arial" w:hAnsi="arial" w:cs="arial"/>
            <w:b w:val="0"/>
            <w:i/>
            <w:strike w:val="0"/>
            <w:noProof w:val="0"/>
            <w:color w:val="0077CC"/>
            <w:position w:val="0"/>
            <w:sz w:val="20"/>
            <w:u w:val="single"/>
            <w:shd w:val="clear" w:color="auto" w:fill="FFFFFF"/>
            <w:vertAlign w:val="baseline"/>
          </w:rPr>
          <w:t>OCGA § 5-7-1 (a) (5)</w:t>
        </w:r>
      </w:hyperlink>
      <w:r>
        <w:rPr>
          <w:rFonts w:ascii="arial" w:eastAsia="arial" w:hAnsi="arial" w:cs="arial"/>
          <w:b w:val="0"/>
          <w:i w:val="0"/>
          <w:strike w:val="0"/>
          <w:noProof w:val="0"/>
          <w:color w:val="000000"/>
          <w:position w:val="0"/>
          <w:sz w:val="20"/>
          <w:u w:val="none"/>
          <w:vertAlign w:val="baseline"/>
        </w:rPr>
        <w:t xml:space="preserve">. </w:t>
      </w:r>
      <w:bookmarkStart w:id="10" w:name="Bookmark_LNHNREFclscc1"/>
      <w:bookmarkEnd w:id="10"/>
      <w:r>
        <w:rPr>
          <w:rFonts w:ascii="arial" w:eastAsia="arial" w:hAnsi="arial" w:cs="arial"/>
          <w:b w:val="0"/>
          <w:i w:val="0"/>
          <w:strike w:val="0"/>
          <w:noProof w:val="0"/>
          <w:color w:val="000000"/>
          <w:position w:val="0"/>
          <w:sz w:val="20"/>
          <w:u w:val="none"/>
          <w:vertAlign w:val="baseline"/>
        </w:rPr>
        <w:t xml:space="preserve">“The State's right to appeal in criminal cases is derived from Georgia's statutory law,” specifically </w:t>
      </w:r>
      <w:hyperlink r:id="rId21" w:history="1">
        <w:r>
          <w:rPr>
            <w:rFonts w:ascii="arial" w:eastAsia="arial" w:hAnsi="arial" w:cs="arial"/>
            <w:b w:val="0"/>
            <w:i/>
            <w:strike w:val="0"/>
            <w:noProof w:val="0"/>
            <w:color w:val="0077CC"/>
            <w:position w:val="0"/>
            <w:sz w:val="20"/>
            <w:u w:val="single"/>
            <w:shd w:val="clear" w:color="auto" w:fill="FFFFFF"/>
            <w:vertAlign w:val="baseline"/>
          </w:rPr>
          <w:t>OCGA § 5-7-1 (a)</w:t>
        </w:r>
      </w:hyperlink>
      <w:r>
        <w:rPr>
          <w:rFonts w:ascii="arial" w:eastAsia="arial" w:hAnsi="arial" w:cs="arial"/>
          <w:b w:val="0"/>
          <w:i w:val="0"/>
          <w:strike w:val="0"/>
          <w:noProof w:val="0"/>
          <w:color w:val="000000"/>
          <w:position w:val="0"/>
          <w:sz w:val="20"/>
          <w:u w:val="none"/>
          <w:vertAlign w:val="baseline"/>
        </w:rPr>
        <w:t xml:space="preserve">. </w:t>
      </w:r>
      <w:bookmarkStart w:id="11" w:name="Bookmark_I6FR9GVK2HM61H0010000400"/>
      <w:bookmarkEnd w:id="11"/>
      <w:hyperlink r:id="rId22" w:history="1">
        <w:r>
          <w:rPr>
            <w:rFonts w:ascii="arial" w:eastAsia="arial" w:hAnsi="arial" w:cs="arial"/>
            <w:b w:val="0"/>
            <w:i/>
            <w:strike w:val="0"/>
            <w:noProof w:val="0"/>
            <w:color w:val="0077CC"/>
            <w:position w:val="0"/>
            <w:sz w:val="20"/>
            <w:u w:val="single"/>
            <w:shd w:val="clear" w:color="auto" w:fill="FFFFFF"/>
            <w:vertAlign w:val="baseline"/>
          </w:rPr>
          <w:t>State v. Wheeler</w:t>
        </w:r>
      </w:hyperlink>
      <w:hyperlink r:id="rId23" w:history="1">
        <w:r>
          <w:rPr>
            <w:rFonts w:ascii="arial" w:eastAsia="arial" w:hAnsi="arial" w:cs="arial"/>
            <w:b w:val="0"/>
            <w:i/>
            <w:strike w:val="0"/>
            <w:noProof w:val="0"/>
            <w:color w:val="0077CC"/>
            <w:position w:val="0"/>
            <w:sz w:val="20"/>
            <w:u w:val="single"/>
            <w:shd w:val="clear" w:color="auto" w:fill="FFFFFF"/>
            <w:vertAlign w:val="baseline"/>
          </w:rPr>
          <w:t>, 310 Ga. 72, 74 (1) (849 SE2d 401) (2020)</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shd w:val="clear" w:color="auto" w:fill="FFFFFF"/>
            <w:vertAlign w:val="baseline"/>
          </w:rPr>
          <w:t>OCGA § 5-7-1 (a) (5)</w:t>
        </w:r>
      </w:hyperlink>
      <w:r>
        <w:rPr>
          <w:rFonts w:ascii="arial" w:eastAsia="arial" w:hAnsi="arial" w:cs="arial"/>
          <w:b w:val="0"/>
          <w:i w:val="0"/>
          <w:strike w:val="0"/>
          <w:noProof w:val="0"/>
          <w:color w:val="000000"/>
          <w:position w:val="0"/>
          <w:sz w:val="20"/>
          <w:u w:val="none"/>
          <w:vertAlign w:val="baseline"/>
        </w:rPr>
        <w:t xml:space="preserve"> provides that the State may appeal</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[f]rom an order, decision, or judgment excluding any other evidence to be used by the state at trial on any motion filed by the state or defendant at least 30 days prior to trial and ruled on prior to the impaneling of a jury or the defendant being put in jeopardy, whichever occurs first, if:</w:t>
      </w:r>
    </w:p>
    <w:p>
      <w:pPr>
        <w:keepNext w:val="0"/>
        <w:spacing w:before="24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 xml:space="preserve">(A) Notwithstanding the provisions of </w:t>
      </w:r>
      <w:hyperlink r:id="rId25" w:history="1">
        <w:r>
          <w:rPr>
            <w:rFonts w:ascii="arial" w:eastAsia="arial" w:hAnsi="arial" w:cs="arial"/>
            <w:b w:val="0"/>
            <w:i/>
            <w:strike w:val="0"/>
            <w:noProof w:val="0"/>
            <w:color w:val="0077CC"/>
            <w:position w:val="0"/>
            <w:sz w:val="20"/>
            <w:u w:val="single"/>
            <w:shd w:val="clear" w:color="auto" w:fill="FFFFFF"/>
            <w:vertAlign w:val="baseline"/>
          </w:rPr>
          <w:t>Code Section 5-6-38</w:t>
        </w:r>
      </w:hyperlink>
      <w:r>
        <w:rPr>
          <w:rFonts w:ascii="arial" w:eastAsia="arial" w:hAnsi="arial" w:cs="arial"/>
          <w:b w:val="0"/>
          <w:i w:val="0"/>
          <w:strike w:val="0"/>
          <w:noProof w:val="0"/>
          <w:color w:val="000000"/>
          <w:position w:val="0"/>
          <w:sz w:val="20"/>
          <w:u w:val="none"/>
          <w:vertAlign w:val="baseline"/>
        </w:rPr>
        <w:t>, the notice of appeal filed pursuant to this paragraph is filed within two days of such order, decision, or judgment; and</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(B) The prosecuting attorney certifies to the trial court that such appeal is not taken for purpose of delay and that the evidence is a substantial proof of a material</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fact in the proceeding[.]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[*372] </w:t>
      </w:r>
      <w:r>
        <w:rPr>
          <w:rFonts w:ascii="arial" w:eastAsia="arial" w:hAnsi="arial" w:cs="arial"/>
          <w:b w:val="0"/>
          <w:i w:val="0"/>
          <w:strike w:val="0"/>
          <w:noProof w:val="0"/>
          <w:color w:val="000000"/>
          <w:position w:val="0"/>
          <w:sz w:val="20"/>
          <w:u w:val="none"/>
          <w:vertAlign w:val="baseline"/>
        </w:rPr>
        <w:t xml:space="preserve"> The State did not comply with the requirements of </w:t>
      </w:r>
      <w:hyperlink r:id="rId26" w:history="1">
        <w:r>
          <w:rPr>
            <w:rFonts w:ascii="arial" w:eastAsia="arial" w:hAnsi="arial" w:cs="arial"/>
            <w:b w:val="0"/>
            <w:i/>
            <w:strike w:val="0"/>
            <w:noProof w:val="0"/>
            <w:color w:val="0077CC"/>
            <w:position w:val="0"/>
            <w:sz w:val="20"/>
            <w:u w:val="single"/>
            <w:shd w:val="clear" w:color="auto" w:fill="FFFFFF"/>
            <w:vertAlign w:val="baseline"/>
          </w:rPr>
          <w:t>paragraph (a) (5)</w:t>
        </w:r>
      </w:hyperlink>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instead asserts that its notice of appeal is proper under </w:t>
      </w:r>
      <w:hyperlink r:id="rId27" w:history="1">
        <w:r>
          <w:rPr>
            <w:rFonts w:ascii="arial" w:eastAsia="arial" w:hAnsi="arial" w:cs="arial"/>
            <w:b w:val="0"/>
            <w:i/>
            <w:strike w:val="0"/>
            <w:noProof w:val="0"/>
            <w:color w:val="0077CC"/>
            <w:position w:val="0"/>
            <w:sz w:val="20"/>
            <w:u w:val="single"/>
            <w:shd w:val="clear" w:color="auto" w:fill="FFFFFF"/>
            <w:vertAlign w:val="baseline"/>
          </w:rPr>
          <w:t>paragraph (a) (4)</w:t>
        </w:r>
      </w:hyperlink>
      <w:r>
        <w:rPr>
          <w:rFonts w:ascii="arial" w:eastAsia="arial" w:hAnsi="arial" w:cs="arial"/>
          <w:b w:val="0"/>
          <w:i w:val="0"/>
          <w:strike w:val="0"/>
          <w:noProof w:val="0"/>
          <w:color w:val="000000"/>
          <w:position w:val="0"/>
          <w:sz w:val="20"/>
          <w:u w:val="none"/>
          <w:vertAlign w:val="baseline"/>
        </w:rPr>
        <w:t>. Because unchallenged precedent supports the State's argument, we agree.</w:t>
      </w:r>
    </w:p>
    <w:p>
      <w:pPr>
        <w:keepNext w:val="0"/>
        <w:spacing w:before="240" w:after="0" w:line="260" w:lineRule="atLeast"/>
        <w:ind w:left="0" w:right="0" w:firstLine="0"/>
        <w:jc w:val="both"/>
      </w:pPr>
      <w:bookmarkStart w:id="13" w:name="Bookmark_II08FX7YT8YW003RRJGG00B8K"/>
      <w:bookmarkEnd w:id="13"/>
      <w:bookmarkStart w:id="14" w:name="Bookmark_I6FR9GVK2HM61H0040000400"/>
      <w:bookmarkEnd w:id="14"/>
      <w:bookmarkStart w:id="15" w:name="Bookmark_LNHNREFclscc2"/>
      <w:bookmarkEnd w:id="15"/>
      <w:hyperlink r:id="rId28" w:history="1">
        <w:r>
          <w:rPr>
            <w:rFonts w:ascii="arial" w:eastAsia="arial" w:hAnsi="arial" w:cs="arial"/>
            <w:b w:val="0"/>
            <w:i/>
            <w:strike w:val="0"/>
            <w:color w:val="0077CC"/>
            <w:sz w:val="20"/>
            <w:u w:val="single"/>
            <w:shd w:val="clear" w:color="auto" w:fill="FFFFFF"/>
            <w:vertAlign w:val="baseline"/>
          </w:rPr>
          <w:t>OCGA § 5-7-1 (a) (4)</w:t>
        </w:r>
      </w:hyperlink>
      <w:r>
        <w:rPr>
          <w:rFonts w:ascii="arial" w:eastAsia="arial" w:hAnsi="arial" w:cs="arial"/>
          <w:b w:val="0"/>
          <w:i w:val="0"/>
          <w:strike w:val="0"/>
          <w:noProof w:val="0"/>
          <w:color w:val="000000"/>
          <w:position w:val="0"/>
          <w:sz w:val="20"/>
          <w:u w:val="none"/>
          <w:vertAlign w:val="baseline"/>
        </w:rPr>
        <w:t xml:space="preserve"> provides that the State may appeal “[f]rom an order, decision, or judgment suppressing or excluding evidence illegally seized … in the case of motions made and ruled upon prior to the impaneling of a jury or the defendant being put in jeopardy, whichever occurs first[.]” This Court repeatedly has held that </w:t>
      </w:r>
      <w:hyperlink r:id="rId29" w:history="1">
        <w:r>
          <w:rPr>
            <w:rFonts w:ascii="arial" w:eastAsia="arial" w:hAnsi="arial" w:cs="arial"/>
            <w:b w:val="0"/>
            <w:i/>
            <w:strike w:val="0"/>
            <w:noProof w:val="0"/>
            <w:color w:val="0077CC"/>
            <w:position w:val="0"/>
            <w:sz w:val="20"/>
            <w:u w:val="single"/>
            <w:shd w:val="clear" w:color="auto" w:fill="FFFFFF"/>
            <w:vertAlign w:val="baseline"/>
          </w:rPr>
          <w:t>paragraph (a) (4)</w:t>
        </w:r>
      </w:hyperlink>
      <w:r>
        <w:rPr>
          <w:rFonts w:ascii="arial" w:eastAsia="arial" w:hAnsi="arial" w:cs="arial"/>
          <w:b w:val="0"/>
          <w:i w:val="0"/>
          <w:strike w:val="0"/>
          <w:noProof w:val="0"/>
          <w:color w:val="000000"/>
          <w:position w:val="0"/>
          <w:sz w:val="20"/>
          <w:u w:val="none"/>
          <w:vertAlign w:val="baseline"/>
        </w:rPr>
        <w:t xml:space="preserve"> authorizes the State to appeal from orders suppressing or excluding evidence on the basis that “it was obtained by unlawful means.” See </w:t>
      </w:r>
      <w:bookmarkStart w:id="16" w:name="Bookmark_I6FR9GVK2HM61H0030000400"/>
      <w:bookmarkEnd w:id="16"/>
      <w:hyperlink r:id="rId30" w:history="1">
        <w:r>
          <w:rPr>
            <w:rFonts w:ascii="arial" w:eastAsia="arial" w:hAnsi="arial" w:cs="arial"/>
            <w:b w:val="0"/>
            <w:i/>
            <w:strike w:val="0"/>
            <w:noProof w:val="0"/>
            <w:color w:val="0077CC"/>
            <w:position w:val="0"/>
            <w:sz w:val="20"/>
            <w:u w:val="single"/>
            <w:shd w:val="clear" w:color="auto" w:fill="FFFFFF"/>
            <w:vertAlign w:val="baseline"/>
          </w:rPr>
          <w:t>State v. Andrade</w:t>
        </w:r>
      </w:hyperlink>
      <w:hyperlink r:id="rId31" w:history="1">
        <w:r>
          <w:rPr>
            <w:rFonts w:ascii="arial" w:eastAsia="arial" w:hAnsi="arial" w:cs="arial"/>
            <w:b w:val="0"/>
            <w:i/>
            <w:strike w:val="0"/>
            <w:noProof w:val="0"/>
            <w:color w:val="0077CC"/>
            <w:position w:val="0"/>
            <w:sz w:val="20"/>
            <w:u w:val="single"/>
            <w:shd w:val="clear" w:color="auto" w:fill="FFFFFF"/>
            <w:vertAlign w:val="baseline"/>
          </w:rPr>
          <w:t>, 298 Ga. 464, 464-465 (782 SE2d 665) (2016)</w:t>
        </w:r>
      </w:hyperlink>
      <w:r>
        <w:rPr>
          <w:rFonts w:ascii="arial" w:eastAsia="arial" w:hAnsi="arial" w:cs="arial"/>
          <w:b w:val="0"/>
          <w:i w:val="0"/>
          <w:strike w:val="0"/>
          <w:noProof w:val="0"/>
          <w:color w:val="000000"/>
          <w:position w:val="0"/>
          <w:sz w:val="20"/>
          <w:u w:val="none"/>
          <w:vertAlign w:val="baseline"/>
        </w:rPr>
        <w:t xml:space="preserve"> (collecting cases), disapproved on other grounds by </w:t>
      </w:r>
      <w:bookmarkStart w:id="17" w:name="Bookmark_I6FR9GVK2HM61H0050000400"/>
      <w:bookmarkEnd w:id="17"/>
      <w:hyperlink r:id="rId32" w:history="1">
        <w:r>
          <w:rPr>
            <w:rFonts w:ascii="arial" w:eastAsia="arial" w:hAnsi="arial" w:cs="arial"/>
            <w:b w:val="0"/>
            <w:i/>
            <w:strike w:val="0"/>
            <w:noProof w:val="0"/>
            <w:color w:val="0077CC"/>
            <w:position w:val="0"/>
            <w:sz w:val="20"/>
            <w:u w:val="single"/>
            <w:shd w:val="clear" w:color="auto" w:fill="FFFFFF"/>
            <w:vertAlign w:val="baseline"/>
          </w:rPr>
          <w:t>State v. Rosenbaum</w:t>
        </w:r>
      </w:hyperlink>
      <w:hyperlink r:id="rId33" w:history="1">
        <w:r>
          <w:rPr>
            <w:rFonts w:ascii="arial" w:eastAsia="arial" w:hAnsi="arial" w:cs="arial"/>
            <w:b w:val="0"/>
            <w:i/>
            <w:strike w:val="0"/>
            <w:noProof w:val="0"/>
            <w:color w:val="0077CC"/>
            <w:position w:val="0"/>
            <w:sz w:val="20"/>
            <w:u w:val="single"/>
            <w:shd w:val="clear" w:color="auto" w:fill="FFFFFF"/>
            <w:vertAlign w:val="baseline"/>
          </w:rPr>
          <w:t>, 305 Ga. 442, 448-449 (1) n.11  (826 SE2d 18) (2019)</w:t>
        </w:r>
      </w:hyperlink>
      <w:r>
        <w:rPr>
          <w:rFonts w:ascii="arial" w:eastAsia="arial" w:hAnsi="arial" w:cs="arial"/>
          <w:b w:val="0"/>
          <w:i w:val="0"/>
          <w:strike w:val="0"/>
          <w:noProof w:val="0"/>
          <w:color w:val="000000"/>
          <w:position w:val="0"/>
          <w:sz w:val="20"/>
          <w:u w:val="none"/>
          <w:vertAlign w:val="baseline"/>
        </w:rPr>
        <w:t xml:space="preserve">; </w:t>
      </w:r>
      <w:bookmarkStart w:id="18" w:name="Bookmark_I6FR9GVM2HM61N0020000400"/>
      <w:bookmarkEnd w:id="18"/>
      <w:hyperlink r:id="rId34" w:history="1">
        <w:r>
          <w:rPr>
            <w:rFonts w:ascii="arial" w:eastAsia="arial" w:hAnsi="arial" w:cs="arial"/>
            <w:b w:val="0"/>
            <w:i/>
            <w:strike w:val="0"/>
            <w:noProof w:val="0"/>
            <w:color w:val="0077CC"/>
            <w:position w:val="0"/>
            <w:sz w:val="20"/>
            <w:u w:val="single"/>
            <w:shd w:val="clear" w:color="auto" w:fill="FFFFFF"/>
            <w:vertAlign w:val="baseline"/>
          </w:rPr>
          <w:t>State v. Strickman</w:t>
        </w:r>
      </w:hyperlink>
      <w:hyperlink r:id="rId35" w:history="1">
        <w:r>
          <w:rPr>
            <w:rFonts w:ascii="arial" w:eastAsia="arial" w:hAnsi="arial" w:cs="arial"/>
            <w:b w:val="0"/>
            <w:i/>
            <w:strike w:val="0"/>
            <w:noProof w:val="0"/>
            <w:color w:val="0077CC"/>
            <w:position w:val="0"/>
            <w:sz w:val="20"/>
            <w:u w:val="single"/>
            <w:shd w:val="clear" w:color="auto" w:fill="FFFFFF"/>
            <w:vertAlign w:val="baseline"/>
          </w:rPr>
          <w:t>, 253 Ga. 287, 288 (319 SE2d 864) (1984)</w:t>
        </w:r>
      </w:hyperlink>
      <w:r>
        <w:rPr>
          <w:rFonts w:ascii="arial" w:eastAsia="arial" w:hAnsi="arial" w:cs="arial"/>
          <w:b w:val="0"/>
          <w:i w:val="0"/>
          <w:strike w:val="0"/>
          <w:noProof w:val="0"/>
          <w:color w:val="000000"/>
          <w:position w:val="0"/>
          <w:sz w:val="20"/>
          <w:u w:val="none"/>
          <w:vertAlign w:val="baseline"/>
        </w:rPr>
        <w:t xml:space="preserve"> (holding that an order granting a motion “to exclude evidence on the ground that it was obtained in violation of law” is appealable under the materially identical predecessor to </w:t>
      </w:r>
      <w:hyperlink r:id="rId36" w:history="1">
        <w:r>
          <w:rPr>
            <w:rFonts w:ascii="arial" w:eastAsia="arial" w:hAnsi="arial" w:cs="arial"/>
            <w:b w:val="0"/>
            <w:i/>
            <w:strike w:val="0"/>
            <w:noProof w:val="0"/>
            <w:color w:val="0077CC"/>
            <w:position w:val="0"/>
            <w:sz w:val="20"/>
            <w:u w:val="single"/>
            <w:shd w:val="clear" w:color="auto" w:fill="FFFFFF"/>
            <w:vertAlign w:val="baseline"/>
          </w:rPr>
          <w:t>OCGA § 5-7-1 (a) (4)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 w:name="Bookmark_I6FR9GVM2HM61N0050000400"/>
      <w:bookmarkEnd w:id="19"/>
      <w:bookmarkStart w:id="20" w:name="Bookmark_I6FR9GVM2HM61P0020000400"/>
      <w:bookmarkEnd w:id="20"/>
      <w:r>
        <w:rPr>
          <w:rFonts w:ascii="arial" w:eastAsia="arial" w:hAnsi="arial" w:cs="arial"/>
          <w:b w:val="0"/>
          <w:i w:val="0"/>
          <w:strike w:val="0"/>
          <w:noProof w:val="0"/>
          <w:color w:val="000000"/>
          <w:position w:val="0"/>
          <w:sz w:val="20"/>
          <w:u w:val="none"/>
          <w:vertAlign w:val="baseline"/>
        </w:rPr>
        <w:t xml:space="preserve">It seems doubtful that, as a textual matter, the statutory right to appeal from an order suppressing or excluding evidence illegally “seized” extends to appealing an order suppressing or excluding evidence on the basis that it was illegally “obtained.” See, e.g., </w:t>
      </w:r>
      <w:bookmarkStart w:id="21" w:name="Bookmark_I6FR9GVM2HM61N0040000400"/>
      <w:bookmarkEnd w:id="21"/>
      <w:hyperlink r:id="rId37" w:history="1">
        <w:r>
          <w:rPr>
            <w:rFonts w:ascii="arial" w:eastAsia="arial" w:hAnsi="arial" w:cs="arial"/>
            <w:b w:val="0"/>
            <w:i/>
            <w:strike w:val="0"/>
            <w:noProof w:val="0"/>
            <w:color w:val="0077CC"/>
            <w:position w:val="0"/>
            <w:sz w:val="20"/>
            <w:u w:val="single"/>
            <w:shd w:val="clear" w:color="auto" w:fill="FFFFFF"/>
            <w:vertAlign w:val="baseline"/>
          </w:rPr>
          <w:t>Andrade</w:t>
        </w:r>
      </w:hyperlink>
      <w:hyperlink r:id="rId38" w:history="1">
        <w:r>
          <w:rPr>
            <w:rFonts w:ascii="arial" w:eastAsia="arial" w:hAnsi="arial" w:cs="arial"/>
            <w:b w:val="0"/>
            <w:i/>
            <w:strike w:val="0"/>
            <w:noProof w:val="0"/>
            <w:color w:val="0077CC"/>
            <w:position w:val="0"/>
            <w:sz w:val="20"/>
            <w:u w:val="single"/>
            <w:shd w:val="clear" w:color="auto" w:fill="FFFFFF"/>
            <w:vertAlign w:val="baseline"/>
          </w:rPr>
          <w:t>, 298 Ga. at 464-465</w:t>
        </w:r>
      </w:hyperlink>
      <w:r>
        <w:rPr>
          <w:rFonts w:ascii="arial" w:eastAsia="arial" w:hAnsi="arial" w:cs="arial"/>
          <w:b w:val="0"/>
          <w:i w:val="0"/>
          <w:strike w:val="0"/>
          <w:noProof w:val="0"/>
          <w:color w:val="000000"/>
          <w:position w:val="0"/>
          <w:sz w:val="20"/>
          <w:u w:val="none"/>
          <w:vertAlign w:val="baseline"/>
        </w:rPr>
        <w:t xml:space="preserve"> (holding that </w:t>
      </w:r>
      <w:hyperlink r:id="rId39" w:history="1">
        <w:r>
          <w:rPr>
            <w:rFonts w:ascii="arial" w:eastAsia="arial" w:hAnsi="arial" w:cs="arial"/>
            <w:b w:val="0"/>
            <w:i/>
            <w:strike w:val="0"/>
            <w:noProof w:val="0"/>
            <w:color w:val="0077CC"/>
            <w:position w:val="0"/>
            <w:sz w:val="20"/>
            <w:u w:val="single"/>
            <w:shd w:val="clear" w:color="auto" w:fill="FFFFFF"/>
            <w:vertAlign w:val="baseline"/>
          </w:rPr>
          <w:t>OCGA § 5-7-1 (a) (4)</w:t>
        </w:r>
      </w:hyperlink>
      <w:r>
        <w:rPr>
          <w:rFonts w:ascii="arial" w:eastAsia="arial" w:hAnsi="arial" w:cs="arial"/>
          <w:b w:val="0"/>
          <w:i w:val="0"/>
          <w:strike w:val="0"/>
          <w:noProof w:val="0"/>
          <w:color w:val="000000"/>
          <w:position w:val="0"/>
          <w:sz w:val="20"/>
          <w:u w:val="none"/>
          <w:vertAlign w:val="baseline"/>
        </w:rPr>
        <w:t xml:space="preserve"> authorizes an appeal of</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 order suppressing a defendant's statement as involuntary). </w:t>
      </w:r>
      <w:bookmarkStart w:id="22" w:name="Bookmark_LNHNREFclscc3"/>
      <w:bookmarkEnd w:id="22"/>
      <w:r>
        <w:rPr>
          <w:rFonts w:ascii="arial" w:eastAsia="arial" w:hAnsi="arial" w:cs="arial"/>
          <w:b w:val="0"/>
          <w:i w:val="0"/>
          <w:strike w:val="0"/>
          <w:noProof w:val="0"/>
          <w:color w:val="000000"/>
          <w:position w:val="0"/>
          <w:sz w:val="20"/>
          <w:u w:val="none"/>
          <w:vertAlign w:val="baseline"/>
        </w:rPr>
        <w:t xml:space="preserve">But our controlling case law is clear on this point, Brantley does not ask us to reconsider this precedent, and stare decisis considerations might well warrant retaining it even if we did reconsider it. See </w:t>
      </w:r>
      <w:bookmarkStart w:id="23" w:name="Bookmark_I6FR9GVM2HM61P0010000400"/>
      <w:bookmarkEnd w:id="23"/>
      <w:hyperlink r:id="rId40" w:history="1">
        <w:r>
          <w:rPr>
            <w:rFonts w:ascii="arial" w:eastAsia="arial" w:hAnsi="arial" w:cs="arial"/>
            <w:b w:val="0"/>
            <w:i/>
            <w:strike w:val="0"/>
            <w:noProof w:val="0"/>
            <w:color w:val="0077CC"/>
            <w:position w:val="0"/>
            <w:sz w:val="20"/>
            <w:u w:val="single"/>
            <w:shd w:val="clear" w:color="auto" w:fill="FFFFFF"/>
            <w:vertAlign w:val="baseline"/>
          </w:rPr>
          <w:t>Allen v. State</w:t>
        </w:r>
      </w:hyperlink>
      <w:hyperlink r:id="rId41" w:history="1">
        <w:r>
          <w:rPr>
            <w:rFonts w:ascii="arial" w:eastAsia="arial" w:hAnsi="arial" w:cs="arial"/>
            <w:b w:val="0"/>
            <w:i/>
            <w:strike w:val="0"/>
            <w:noProof w:val="0"/>
            <w:color w:val="0077CC"/>
            <w:position w:val="0"/>
            <w:sz w:val="20"/>
            <w:u w:val="single"/>
            <w:shd w:val="clear" w:color="auto" w:fill="FFFFFF"/>
            <w:vertAlign w:val="baseline"/>
          </w:rPr>
          <w:t>, 310 Ga. 411, 421 (6) (851 SE2d 541) (2020)</w:t>
        </w:r>
      </w:hyperlink>
      <w:r>
        <w:rPr>
          <w:rFonts w:ascii="arial" w:eastAsia="arial" w:hAnsi="arial" w:cs="arial"/>
          <w:b w:val="0"/>
          <w:i w:val="0"/>
          <w:strike w:val="0"/>
          <w:noProof w:val="0"/>
          <w:color w:val="000000"/>
          <w:position w:val="0"/>
          <w:sz w:val="20"/>
          <w:u w:val="none"/>
          <w:vertAlign w:val="baseline"/>
        </w:rPr>
        <w:t xml:space="preserve"> (“ ‘Even those who regard “stare decisis” with something less than enthusiasm recognize that the principle has even greater weight where the precedent relates to interpretation of a statute.’ ” (quoting </w:t>
      </w:r>
      <w:bookmarkStart w:id="24" w:name="Bookmark_I6FR9GVM2HM61P0030000400"/>
      <w:bookmarkEnd w:id="24"/>
      <w:hyperlink r:id="rId42" w:history="1">
        <w:r>
          <w:rPr>
            <w:rFonts w:ascii="arial" w:eastAsia="arial" w:hAnsi="arial" w:cs="arial"/>
            <w:b w:val="0"/>
            <w:i/>
            <w:strike w:val="0"/>
            <w:noProof w:val="0"/>
            <w:color w:val="0077CC"/>
            <w:position w:val="0"/>
            <w:sz w:val="20"/>
            <w:u w:val="single"/>
            <w:shd w:val="clear" w:color="auto" w:fill="FFFFFF"/>
            <w:vertAlign w:val="baseline"/>
          </w:rPr>
          <w:t>Etkind v. Suarez</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 271 Ga. 352, 358 (5) (519 SE2d 210) (1999)</w:t>
        </w:r>
      </w:hyperlink>
      <w:r>
        <w:rPr>
          <w:rFonts w:ascii="arial" w:eastAsia="arial" w:hAnsi="arial" w:cs="arial"/>
          <w:b w:val="0"/>
          <w:i w:val="0"/>
          <w:strike w:val="0"/>
          <w:noProof w:val="0"/>
          <w:color w:val="000000"/>
          <w:position w:val="0"/>
          <w:sz w:val="20"/>
          <w:u w:val="none"/>
          <w:vertAlign w:val="baseline"/>
        </w:rPr>
        <w:t>)). Accordingly, we faithfully apply it here.</w:t>
      </w:r>
    </w:p>
    <w:p>
      <w:pPr>
        <w:keepNext w:val="0"/>
        <w:spacing w:before="240" w:after="0" w:line="260" w:lineRule="atLeast"/>
        <w:ind w:left="0" w:right="0" w:firstLine="0"/>
        <w:jc w:val="both"/>
      </w:pPr>
      <w:bookmarkStart w:id="25" w:name="Bookmark__1"/>
      <w:bookmarkEnd w:id="25"/>
      <w:r>
        <w:rPr>
          <w:rFonts w:ascii="arial" w:eastAsia="arial" w:hAnsi="arial" w:cs="arial"/>
          <w:b w:val="0"/>
          <w:i w:val="0"/>
          <w:strike w:val="0"/>
          <w:noProof w:val="0"/>
          <w:color w:val="000000"/>
          <w:position w:val="0"/>
          <w:sz w:val="20"/>
          <w:u w:val="none"/>
          <w:vertAlign w:val="baseline"/>
        </w:rPr>
        <w:t xml:space="preserve">(1) </w:t>
      </w:r>
      <w:bookmarkStart w:id="26" w:name="Bookmark_I6FR9GVN28T4V60010000400"/>
      <w:bookmarkEnd w:id="26"/>
      <w:r>
        <w:rPr>
          <w:rFonts w:ascii="arial" w:eastAsia="arial" w:hAnsi="arial" w:cs="arial"/>
          <w:b w:val="0"/>
          <w:i w:val="0"/>
          <w:strike w:val="0"/>
          <w:noProof w:val="0"/>
          <w:color w:val="000000"/>
          <w:position w:val="0"/>
          <w:sz w:val="20"/>
          <w:u w:val="none"/>
          <w:vertAlign w:val="baseline"/>
        </w:rPr>
        <w:t xml:space="preserve">The trial court order in this case excluded the jail phone calls on the basis that the District Attorney's Office unlawfully “acqui[red]” and “access[ed]” — i.e., obtained — those calls. </w:t>
      </w:r>
      <w:bookmarkStart w:id="27" w:name="Bookmark_I6FR9GVN28T4V60030000400"/>
      <w:bookmarkEnd w:id="27"/>
      <w:r>
        <w:rPr>
          <w:rFonts w:ascii="arial" w:eastAsia="arial" w:hAnsi="arial" w:cs="arial"/>
          <w:b w:val="0"/>
          <w:i w:val="0"/>
          <w:strike w:val="0"/>
          <w:noProof w:val="0"/>
          <w:color w:val="000000"/>
          <w:position w:val="0"/>
          <w:sz w:val="20"/>
          <w:u w:val="none"/>
          <w:vertAlign w:val="baseline"/>
        </w:rPr>
        <w:t xml:space="preserve">Thus, the State was permitted to appeal under </w:t>
      </w:r>
      <w:hyperlink r:id="rId44" w:history="1">
        <w:r>
          <w:rPr>
            <w:rFonts w:ascii="arial" w:eastAsia="arial" w:hAnsi="arial" w:cs="arial"/>
            <w:b w:val="0"/>
            <w:i/>
            <w:strike w:val="0"/>
            <w:noProof w:val="0"/>
            <w:color w:val="0077CC"/>
            <w:position w:val="0"/>
            <w:sz w:val="20"/>
            <w:u w:val="single"/>
            <w:shd w:val="clear" w:color="auto" w:fill="FFFFFF"/>
            <w:vertAlign w:val="baseline"/>
          </w:rPr>
          <w:t>paragraph (a) (4)</w:t>
        </w:r>
      </w:hyperlink>
      <w:r>
        <w:rPr>
          <w:rFonts w:ascii="arial" w:eastAsia="arial" w:hAnsi="arial" w:cs="arial"/>
          <w:b w:val="0"/>
          <w:i w:val="0"/>
          <w:strike w:val="0"/>
          <w:noProof w:val="0"/>
          <w:color w:val="000000"/>
          <w:position w:val="0"/>
          <w:sz w:val="20"/>
          <w:u w:val="none"/>
          <w:vertAlign w:val="baseline"/>
        </w:rPr>
        <w:t xml:space="preserve">. See </w:t>
      </w:r>
      <w:bookmarkStart w:id="28" w:name="Bookmark_I6FR9GVM2HM61P0050000400"/>
      <w:bookmarkEnd w:id="28"/>
      <w:hyperlink r:id="rId45" w:history="1">
        <w:r>
          <w:rPr>
            <w:rFonts w:ascii="arial" w:eastAsia="arial" w:hAnsi="arial" w:cs="arial"/>
            <w:b w:val="0"/>
            <w:i/>
            <w:strike w:val="0"/>
            <w:noProof w:val="0"/>
            <w:color w:val="0077CC"/>
            <w:position w:val="0"/>
            <w:sz w:val="20"/>
            <w:u w:val="single"/>
            <w:shd w:val="clear" w:color="auto" w:fill="FFFFFF"/>
            <w:vertAlign w:val="baseline"/>
          </w:rPr>
          <w:t>Anderson v. State</w:t>
        </w:r>
      </w:hyperlink>
      <w:hyperlink r:id="rId46" w:history="1">
        <w:r>
          <w:rPr>
            <w:rFonts w:ascii="arial" w:eastAsia="arial" w:hAnsi="arial" w:cs="arial"/>
            <w:b w:val="0"/>
            <w:i/>
            <w:strike w:val="0"/>
            <w:noProof w:val="0"/>
            <w:color w:val="0077CC"/>
            <w:position w:val="0"/>
            <w:sz w:val="20"/>
            <w:u w:val="single"/>
            <w:shd w:val="clear" w:color="auto" w:fill="FFFFFF"/>
            <w:vertAlign w:val="baseline"/>
          </w:rPr>
          <w:t>, 267 Ga. 116, 116-117 (1) (475 SE2d 629)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[**810] </w:t>
      </w:r>
      <w:r>
        <w:rPr>
          <w:rFonts w:ascii="arial" w:eastAsia="arial" w:hAnsi="arial" w:cs="arial"/>
          <w:b w:val="0"/>
          <w:i w:val="0"/>
          <w:strike w:val="0"/>
          <w:noProof w:val="0"/>
          <w:color w:val="000000"/>
          <w:position w:val="0"/>
          <w:sz w:val="20"/>
          <w:u w:val="none"/>
          <w:vertAlign w:val="baseline"/>
        </w:rPr>
        <w:t xml:space="preserve"> (holding that the State's appeal of an order suppressing incriminating phone conversations</w:t>
      </w:r>
      <w:r>
        <w:rPr>
          <w:rFonts w:ascii="arial" w:eastAsia="arial" w:hAnsi="arial" w:cs="arial"/>
          <w:b w:val="0"/>
          <w:i w:val="0"/>
          <w:strike w:val="0"/>
          <w:noProof w:val="0"/>
          <w:color w:val="000000"/>
          <w:position w:val="0"/>
          <w:sz w:val="20"/>
          <w:u w:val="none"/>
          <w:vertAlign w:val="baseline"/>
        </w:rPr>
        <w:t> [*373] </w:t>
      </w:r>
      <w:r>
        <w:rPr>
          <w:rFonts w:ascii="arial" w:eastAsia="arial" w:hAnsi="arial" w:cs="arial"/>
          <w:b w:val="0"/>
          <w:i w:val="0"/>
          <w:strike w:val="0"/>
          <w:noProof w:val="0"/>
          <w:color w:val="000000"/>
          <w:position w:val="0"/>
          <w:sz w:val="20"/>
          <w:u w:val="none"/>
          <w:vertAlign w:val="baseline"/>
        </w:rPr>
        <w:t xml:space="preserve"> “on the basis that the taped conversations were published to the agent and republished to other IRS officials in violation of” the wiretap statute was appealable under the predecessor to </w:t>
      </w:r>
      <w:hyperlink r:id="rId47" w:history="1">
        <w:r>
          <w:rPr>
            <w:rFonts w:ascii="arial" w:eastAsia="arial" w:hAnsi="arial" w:cs="arial"/>
            <w:b w:val="0"/>
            <w:i/>
            <w:strike w:val="0"/>
            <w:noProof w:val="0"/>
            <w:color w:val="0077CC"/>
            <w:position w:val="0"/>
            <w:sz w:val="20"/>
            <w:u w:val="single"/>
            <w:shd w:val="clear" w:color="auto" w:fill="FFFFFF"/>
            <w:vertAlign w:val="baseline"/>
          </w:rPr>
          <w:t>OCGA § 5-7-1 (a) (4)</w:t>
        </w:r>
      </w:hyperlink>
      <w:r>
        <w:rPr>
          <w:rFonts w:ascii="arial" w:eastAsia="arial" w:hAnsi="arial" w:cs="arial"/>
          <w:b w:val="0"/>
          <w:i w:val="0"/>
          <w:strike w:val="0"/>
          <w:noProof w:val="0"/>
          <w:color w:val="000000"/>
          <w:position w:val="0"/>
          <w:sz w:val="20"/>
          <w:u w:val="none"/>
          <w:vertAlign w:val="baseline"/>
        </w:rPr>
        <w:t xml:space="preserve">). </w:t>
      </w:r>
      <w:bookmarkStart w:id="29" w:name="Bookmark_I6FR9GVN28T4V60030000400_2"/>
      <w:bookmarkEnd w:id="29"/>
      <w:bookmarkStart w:id="30" w:name="Bookmark_I6FR9GVN28T4V60050000400"/>
      <w:bookmarkEnd w:id="30"/>
      <w:r>
        <w:rPr>
          <w:rFonts w:ascii="arial" w:eastAsia="arial" w:hAnsi="arial" w:cs="arial"/>
          <w:b w:val="0"/>
          <w:i w:val="0"/>
          <w:strike w:val="0"/>
          <w:noProof w:val="0"/>
          <w:color w:val="000000"/>
          <w:position w:val="0"/>
          <w:sz w:val="20"/>
          <w:u w:val="none"/>
          <w:vertAlign w:val="baseline"/>
        </w:rPr>
        <w:t xml:space="preserve">See also </w:t>
      </w:r>
      <w:bookmarkStart w:id="31" w:name="Bookmark_I6FR9GVN28T4V60020000400"/>
      <w:bookmarkEnd w:id="31"/>
      <w:hyperlink r:id="rId48" w:history="1">
        <w:r>
          <w:rPr>
            <w:rFonts w:ascii="arial" w:eastAsia="arial" w:hAnsi="arial" w:cs="arial"/>
            <w:b w:val="0"/>
            <w:i/>
            <w:strike w:val="0"/>
            <w:noProof w:val="0"/>
            <w:color w:val="0077CC"/>
            <w:position w:val="0"/>
            <w:sz w:val="20"/>
            <w:u w:val="single"/>
            <w:shd w:val="clear" w:color="auto" w:fill="FFFFFF"/>
            <w:vertAlign w:val="baseline"/>
          </w:rPr>
          <w:t>Andrade</w:t>
        </w:r>
      </w:hyperlink>
      <w:hyperlink r:id="rId49" w:history="1">
        <w:r>
          <w:rPr>
            <w:rFonts w:ascii="arial" w:eastAsia="arial" w:hAnsi="arial" w:cs="arial"/>
            <w:b w:val="0"/>
            <w:i/>
            <w:strike w:val="0"/>
            <w:noProof w:val="0"/>
            <w:color w:val="0077CC"/>
            <w:position w:val="0"/>
            <w:sz w:val="20"/>
            <w:u w:val="single"/>
            <w:shd w:val="clear" w:color="auto" w:fill="FFFFFF"/>
            <w:vertAlign w:val="baseline"/>
          </w:rPr>
          <w:t>, 298 Ga. at 464-465</w:t>
        </w:r>
      </w:hyperlink>
      <w:r>
        <w:rPr>
          <w:rFonts w:ascii="arial" w:eastAsia="arial" w:hAnsi="arial" w:cs="arial"/>
          <w:b w:val="0"/>
          <w:i w:val="0"/>
          <w:strike w:val="0"/>
          <w:noProof w:val="0"/>
          <w:color w:val="000000"/>
          <w:position w:val="0"/>
          <w:sz w:val="20"/>
          <w:u w:val="none"/>
          <w:vertAlign w:val="baseline"/>
        </w:rPr>
        <w:t xml:space="preserve"> (holding that the State is authorized to appeal from an order suppressing a statement as involuntary under </w:t>
      </w:r>
      <w:hyperlink r:id="rId50" w:history="1">
        <w:r>
          <w:rPr>
            <w:rFonts w:ascii="arial" w:eastAsia="arial" w:hAnsi="arial" w:cs="arial"/>
            <w:b w:val="0"/>
            <w:i/>
            <w:strike w:val="0"/>
            <w:noProof w:val="0"/>
            <w:color w:val="0077CC"/>
            <w:position w:val="0"/>
            <w:sz w:val="20"/>
            <w:u w:val="single"/>
            <w:shd w:val="clear" w:color="auto" w:fill="FFFFFF"/>
            <w:vertAlign w:val="baseline"/>
          </w:rPr>
          <w:t>OCGA § 5-7-1 (a) (4)</w:t>
        </w:r>
      </w:hyperlink>
      <w:r>
        <w:rPr>
          <w:rFonts w:ascii="arial" w:eastAsia="arial" w:hAnsi="arial" w:cs="arial"/>
          <w:b w:val="0"/>
          <w:i w:val="0"/>
          <w:strike w:val="0"/>
          <w:noProof w:val="0"/>
          <w:color w:val="000000"/>
          <w:position w:val="0"/>
          <w:sz w:val="20"/>
          <w:u w:val="none"/>
          <w:vertAlign w:val="baseline"/>
        </w:rPr>
        <w:t xml:space="preserve">). </w:t>
      </w:r>
      <w:bookmarkStart w:id="32" w:name="Bookmark_I6FR9GVN28T4V60050000400_2"/>
      <w:bookmarkEnd w:id="32"/>
      <w:bookmarkStart w:id="33" w:name="Bookmark_LNHNREFclscc4"/>
      <w:bookmarkEnd w:id="33"/>
      <w:r>
        <w:rPr>
          <w:rFonts w:ascii="arial" w:eastAsia="arial" w:hAnsi="arial" w:cs="arial"/>
          <w:b w:val="0"/>
          <w:i w:val="0"/>
          <w:strike w:val="0"/>
          <w:noProof w:val="0"/>
          <w:color w:val="000000"/>
          <w:position w:val="0"/>
          <w:sz w:val="20"/>
          <w:u w:val="none"/>
          <w:vertAlign w:val="baseline"/>
        </w:rPr>
        <w:t>Because the State's appeal was authorized under</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hyperlink r:id="rId51" w:history="1">
        <w:r>
          <w:rPr>
            <w:rFonts w:ascii="arial" w:eastAsia="arial" w:hAnsi="arial" w:cs="arial"/>
            <w:b w:val="0"/>
            <w:i/>
            <w:strike w:val="0"/>
            <w:noProof w:val="0"/>
            <w:color w:val="0077CC"/>
            <w:position w:val="0"/>
            <w:sz w:val="20"/>
            <w:u w:val="single"/>
            <w:shd w:val="clear" w:color="auto" w:fill="FFFFFF"/>
            <w:vertAlign w:val="baseline"/>
          </w:rPr>
          <w:t>paragraph (a) (4)</w:t>
        </w:r>
      </w:hyperlink>
      <w:r>
        <w:rPr>
          <w:rFonts w:ascii="arial" w:eastAsia="arial" w:hAnsi="arial" w:cs="arial"/>
          <w:b w:val="0"/>
          <w:i w:val="0"/>
          <w:strike w:val="0"/>
          <w:noProof w:val="0"/>
          <w:color w:val="000000"/>
          <w:position w:val="0"/>
          <w:sz w:val="20"/>
          <w:u w:val="none"/>
          <w:vertAlign w:val="baseline"/>
        </w:rPr>
        <w:t xml:space="preserve">, it was not required to appeal under </w:t>
      </w:r>
      <w:hyperlink r:id="rId52" w:history="1">
        <w:r>
          <w:rPr>
            <w:rFonts w:ascii="arial" w:eastAsia="arial" w:hAnsi="arial" w:cs="arial"/>
            <w:b w:val="0"/>
            <w:i/>
            <w:strike w:val="0"/>
            <w:noProof w:val="0"/>
            <w:color w:val="0077CC"/>
            <w:position w:val="0"/>
            <w:sz w:val="20"/>
            <w:u w:val="single"/>
            <w:shd w:val="clear" w:color="auto" w:fill="FFFFFF"/>
            <w:vertAlign w:val="baseline"/>
          </w:rPr>
          <w:t>paragraph (a) (5)</w:t>
        </w:r>
      </w:hyperlink>
      <w:r>
        <w:rPr>
          <w:rFonts w:ascii="arial" w:eastAsia="arial" w:hAnsi="arial" w:cs="arial"/>
          <w:b w:val="0"/>
          <w:i w:val="0"/>
          <w:strike w:val="0"/>
          <w:noProof w:val="0"/>
          <w:color w:val="000000"/>
          <w:position w:val="0"/>
          <w:sz w:val="20"/>
          <w:u w:val="none"/>
          <w:vertAlign w:val="baseline"/>
        </w:rPr>
        <w:t xml:space="preserve">. See </w:t>
      </w:r>
      <w:bookmarkStart w:id="34" w:name="Bookmark_I6FR9GVN28T4V60040000400"/>
      <w:bookmarkEnd w:id="34"/>
      <w:hyperlink r:id="rId53" w:history="1">
        <w:r>
          <w:rPr>
            <w:rFonts w:ascii="arial" w:eastAsia="arial" w:hAnsi="arial" w:cs="arial"/>
            <w:b w:val="0"/>
            <w:i/>
            <w:strike w:val="0"/>
            <w:noProof w:val="0"/>
            <w:color w:val="0077CC"/>
            <w:position w:val="0"/>
            <w:sz w:val="20"/>
            <w:u w:val="single"/>
            <w:shd w:val="clear" w:color="auto" w:fill="FFFFFF"/>
            <w:vertAlign w:val="baseline"/>
          </w:rPr>
          <w:t>Andrade</w:t>
        </w:r>
      </w:hyperlink>
      <w:hyperlink r:id="rId54" w:history="1">
        <w:r>
          <w:rPr>
            <w:rFonts w:ascii="arial" w:eastAsia="arial" w:hAnsi="arial" w:cs="arial"/>
            <w:b w:val="0"/>
            <w:i/>
            <w:strike w:val="0"/>
            <w:noProof w:val="0"/>
            <w:color w:val="0077CC"/>
            <w:position w:val="0"/>
            <w:sz w:val="20"/>
            <w:u w:val="single"/>
            <w:shd w:val="clear" w:color="auto" w:fill="FFFFFF"/>
            <w:vertAlign w:val="baseline"/>
          </w:rPr>
          <w:t>, 298 Ga. at 466</w:t>
        </w:r>
      </w:hyperlink>
      <w:r>
        <w:rPr>
          <w:rFonts w:ascii="arial" w:eastAsia="arial" w:hAnsi="arial" w:cs="arial"/>
          <w:b w:val="0"/>
          <w:i w:val="0"/>
          <w:strike w:val="0"/>
          <w:noProof w:val="0"/>
          <w:color w:val="000000"/>
          <w:position w:val="0"/>
          <w:sz w:val="20"/>
          <w:u w:val="none"/>
          <w:vertAlign w:val="baseline"/>
        </w:rPr>
        <w:t xml:space="preserve"> (holding that the State is required to bring its appeal under </w:t>
      </w:r>
      <w:hyperlink r:id="rId55" w:history="1">
        <w:r>
          <w:rPr>
            <w:rFonts w:ascii="arial" w:eastAsia="arial" w:hAnsi="arial" w:cs="arial"/>
            <w:b w:val="0"/>
            <w:i/>
            <w:strike w:val="0"/>
            <w:noProof w:val="0"/>
            <w:color w:val="0077CC"/>
            <w:position w:val="0"/>
            <w:sz w:val="20"/>
            <w:u w:val="single"/>
            <w:shd w:val="clear" w:color="auto" w:fill="FFFFFF"/>
            <w:vertAlign w:val="baseline"/>
          </w:rPr>
          <w:t>paragraph (a) (5)</w:t>
        </w:r>
      </w:hyperlink>
      <w:r>
        <w:rPr>
          <w:rFonts w:ascii="arial" w:eastAsia="arial" w:hAnsi="arial" w:cs="arial"/>
          <w:b w:val="0"/>
          <w:i w:val="0"/>
          <w:strike w:val="0"/>
          <w:noProof w:val="0"/>
          <w:color w:val="000000"/>
          <w:position w:val="0"/>
          <w:sz w:val="20"/>
          <w:u w:val="none"/>
          <w:vertAlign w:val="baseline"/>
        </w:rPr>
        <w:t xml:space="preserve"> only if the appeal “could not be brought under” </w:t>
      </w:r>
      <w:hyperlink r:id="rId56" w:history="1">
        <w:r>
          <w:rPr>
            <w:rFonts w:ascii="arial" w:eastAsia="arial" w:hAnsi="arial" w:cs="arial"/>
            <w:b w:val="0"/>
            <w:i/>
            <w:strike w:val="0"/>
            <w:noProof w:val="0"/>
            <w:color w:val="0077CC"/>
            <w:position w:val="0"/>
            <w:sz w:val="20"/>
            <w:u w:val="single"/>
            <w:shd w:val="clear" w:color="auto" w:fill="FFFFFF"/>
            <w:vertAlign w:val="baseline"/>
          </w:rPr>
          <w:t>paragraph (a) (4)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We now turn to the trial court's ruling on Brantley's motion in limine. The trial court excluded Brantley's jail phone calls on the basis that the use of the calls at trial violated Brantley's reasonable expectation of privacy under the </w:t>
      </w:r>
      <w:hyperlink r:id="rId57" w:history="1">
        <w:r>
          <w:rPr>
            <w:rFonts w:ascii="arial" w:eastAsia="arial" w:hAnsi="arial" w:cs="arial"/>
            <w:b w:val="0"/>
            <w:i/>
            <w:strike w:val="0"/>
            <w:noProof w:val="0"/>
            <w:color w:val="0077CC"/>
            <w:position w:val="0"/>
            <w:sz w:val="20"/>
            <w:u w:val="single"/>
            <w:shd w:val="clear" w:color="auto" w:fill="FFFFFF"/>
            <w:vertAlign w:val="baseline"/>
          </w:rPr>
          <w:t>Fourth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and the </w:t>
      </w:r>
      <w:hyperlink r:id="rId58" w:history="1">
        <w:r>
          <w:rPr>
            <w:rFonts w:ascii="arial" w:eastAsia="arial" w:hAnsi="arial" w:cs="arial"/>
            <w:b w:val="0"/>
            <w:i/>
            <w:strike w:val="0"/>
            <w:noProof w:val="0"/>
            <w:color w:val="0077CC"/>
            <w:position w:val="0"/>
            <w:sz w:val="20"/>
            <w:u w:val="single"/>
            <w:shd w:val="clear" w:color="auto" w:fill="FFFFFF"/>
            <w:vertAlign w:val="baseline"/>
          </w:rPr>
          <w:t>Equal Protection Clause of the Fourteenth Amendment to the United States Constitution</w:t>
        </w:r>
      </w:hyperlink>
      <w:r>
        <w:rPr>
          <w:rFonts w:ascii="arial" w:eastAsia="arial" w:hAnsi="arial" w:cs="arial"/>
          <w:b w:val="0"/>
          <w:i w:val="0"/>
          <w:strike w:val="0"/>
          <w:noProof w:val="0"/>
          <w:color w:val="000000"/>
          <w:position w:val="0"/>
          <w:sz w:val="20"/>
          <w:u w:val="none"/>
          <w:vertAlign w:val="baseline"/>
        </w:rPr>
        <w:t>. We reverse the trial court's order.</w:t>
      </w:r>
    </w:p>
    <w:p>
      <w:pPr>
        <w:keepNext w:val="0"/>
        <w:spacing w:before="240" w:after="0" w:line="260" w:lineRule="atLeast"/>
        <w:ind w:left="0" w:right="0" w:firstLine="0"/>
        <w:jc w:val="both"/>
      </w:pPr>
      <w:bookmarkStart w:id="35" w:name="Bookmark_I6FR9GVN2HM61T0020000400"/>
      <w:bookmarkEnd w:id="35"/>
      <w:bookmarkStart w:id="36" w:name="Bookmark_I6FR9GVN2HM61T0040000400"/>
      <w:bookmarkEnd w:id="36"/>
      <w:bookmarkStart w:id="37" w:name="Bookmark_I6FR9GVN2HM61V0010000400"/>
      <w:bookmarkEnd w:id="37"/>
      <w:bookmarkStart w:id="38" w:name="Bookmark_I6FR9GVN2HM61V0030000400"/>
      <w:bookmarkEnd w:id="38"/>
      <w:r>
        <w:rPr>
          <w:rFonts w:ascii="arial" w:eastAsia="arial" w:hAnsi="arial" w:cs="arial"/>
          <w:b w:val="0"/>
          <w:i w:val="0"/>
          <w:strike w:val="0"/>
          <w:noProof w:val="0"/>
          <w:color w:val="000000"/>
          <w:position w:val="0"/>
          <w:sz w:val="20"/>
          <w:u w:val="none"/>
          <w:vertAlign w:val="baseline"/>
        </w:rPr>
        <w:t xml:space="preserve">(a) First, </w:t>
      </w:r>
      <w:bookmarkStart w:id="39" w:name="Bookmark__2"/>
      <w:bookmarkEnd w:id="39"/>
      <w:r>
        <w:rPr>
          <w:rFonts w:ascii="arial" w:eastAsia="arial" w:hAnsi="arial" w:cs="arial"/>
          <w:b w:val="0"/>
          <w:i w:val="0"/>
          <w:strike w:val="0"/>
          <w:noProof w:val="0"/>
          <w:color w:val="000000"/>
          <w:position w:val="0"/>
          <w:sz w:val="20"/>
          <w:u w:val="none"/>
          <w:vertAlign w:val="baseline"/>
        </w:rPr>
        <w:t xml:space="preserve">(2) </w:t>
      </w:r>
      <w:bookmarkStart w:id="40" w:name="Bookmark_I6FR9GVN2HM61V0030000400_2"/>
      <w:bookmarkEnd w:id="40"/>
      <w:bookmarkStart w:id="41" w:name="Bookmark_I6FR9GVN2HM61V0010000400_2"/>
      <w:bookmarkEnd w:id="41"/>
      <w:bookmarkStart w:id="42" w:name="Bookmark_I6FR9GVN2HM61T0040000400_2"/>
      <w:bookmarkEnd w:id="42"/>
      <w:bookmarkStart w:id="43" w:name="Bookmark_I6FR9GVN2HM61T0020000400_2"/>
      <w:bookmarkEnd w:id="43"/>
      <w:r>
        <w:rPr>
          <w:rFonts w:ascii="arial" w:eastAsia="arial" w:hAnsi="arial" w:cs="arial"/>
          <w:b w:val="0"/>
          <w:i w:val="0"/>
          <w:strike w:val="0"/>
          <w:noProof w:val="0"/>
          <w:color w:val="000000"/>
          <w:position w:val="0"/>
          <w:sz w:val="20"/>
          <w:u w:val="none"/>
          <w:vertAlign w:val="baseline"/>
        </w:rPr>
        <w:t xml:space="preserve">the trial court erred in concluding that the Sheriff's practice of sharing jail phone calls with the District Attorney's Office violated the </w:t>
      </w:r>
      <w:hyperlink r:id="rId59" w:history="1">
        <w:r>
          <w:rPr>
            <w:rFonts w:ascii="arial" w:eastAsia="arial" w:hAnsi="arial" w:cs="arial"/>
            <w:b w:val="0"/>
            <w:i/>
            <w:strike w:val="0"/>
            <w:noProof w:val="0"/>
            <w:color w:val="0077CC"/>
            <w:position w:val="0"/>
            <w:sz w:val="20"/>
            <w:u w:val="single"/>
            <w:shd w:val="clear" w:color="auto" w:fill="FFFFFF"/>
            <w:vertAlign w:val="baseline"/>
          </w:rPr>
          <w:t>Fourth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bookmarkStart w:id="46" w:name="Bookmark_LNHNREFclscc5"/>
      <w:bookmarkEnd w:id="46"/>
      <w:r>
        <w:rPr>
          <w:rFonts w:ascii="arial" w:eastAsia="arial" w:hAnsi="arial" w:cs="arial"/>
          <w:b w:val="0"/>
          <w:i w:val="0"/>
          <w:strike w:val="0"/>
          <w:noProof w:val="0"/>
          <w:color w:val="000000"/>
          <w:position w:val="0"/>
          <w:sz w:val="20"/>
          <w:u w:val="none"/>
          <w:vertAlign w:val="baseline"/>
        </w:rPr>
        <w:t xml:space="preserve">In </w:t>
      </w:r>
      <w:bookmarkStart w:id="47" w:name="Bookmark_I6FR9GVN2HM61T0010000400"/>
      <w:bookmarkEnd w:id="47"/>
      <w:hyperlink r:id="rId60" w:history="1">
        <w:r>
          <w:rPr>
            <w:rFonts w:ascii="arial" w:eastAsia="arial" w:hAnsi="arial" w:cs="arial"/>
            <w:b w:val="0"/>
            <w:i/>
            <w:strike w:val="0"/>
            <w:noProof w:val="0"/>
            <w:color w:val="0077CC"/>
            <w:position w:val="0"/>
            <w:sz w:val="20"/>
            <w:u w:val="single"/>
            <w:shd w:val="clear" w:color="auto" w:fill="FFFFFF"/>
            <w:vertAlign w:val="baseline"/>
          </w:rPr>
          <w:t>Preston v. State</w:t>
        </w:r>
      </w:hyperlink>
      <w:hyperlink r:id="rId61" w:history="1">
        <w:r>
          <w:rPr>
            <w:rFonts w:ascii="arial" w:eastAsia="arial" w:hAnsi="arial" w:cs="arial"/>
            <w:b w:val="0"/>
            <w:i/>
            <w:strike w:val="0"/>
            <w:noProof w:val="0"/>
            <w:color w:val="0077CC"/>
            <w:position w:val="0"/>
            <w:sz w:val="20"/>
            <w:u w:val="single"/>
            <w:shd w:val="clear" w:color="auto" w:fill="FFFFFF"/>
            <w:vertAlign w:val="baseline"/>
          </w:rPr>
          <w:t>, 282 Ga. 210 (647 SE2d 260) (2007)</w:t>
        </w:r>
      </w:hyperlink>
      <w:r>
        <w:rPr>
          <w:rFonts w:ascii="arial" w:eastAsia="arial" w:hAnsi="arial" w:cs="arial"/>
          <w:b w:val="0"/>
          <w:i w:val="0"/>
          <w:strike w:val="0"/>
          <w:noProof w:val="0"/>
          <w:color w:val="000000"/>
          <w:position w:val="0"/>
          <w:sz w:val="20"/>
          <w:u w:val="none"/>
          <w:vertAlign w:val="baseline"/>
        </w:rPr>
        <w:t xml:space="preserve">, we unequivocally held that there is no reasonable expectation of privacy in a jail phone call (at least when the call was not with counsel). </w:t>
      </w:r>
      <w:bookmarkStart w:id="48" w:name="Bookmark_I6FR9GVN2HM61T0030000400"/>
      <w:bookmarkEnd w:id="48"/>
      <w:hyperlink r:id="rId62" w:history="1">
        <w:r>
          <w:rPr>
            <w:rFonts w:ascii="arial" w:eastAsia="arial" w:hAnsi="arial" w:cs="arial"/>
            <w:b w:val="0"/>
            <w:i/>
            <w:strike w:val="0"/>
            <w:noProof w:val="0"/>
            <w:color w:val="0077CC"/>
            <w:position w:val="0"/>
            <w:sz w:val="20"/>
            <w:u w:val="single"/>
            <w:shd w:val="clear" w:color="auto" w:fill="FFFFFF"/>
            <w:vertAlign w:val="baseline"/>
          </w:rPr>
          <w:t>Id. at 214 (4)</w:t>
        </w:r>
      </w:hyperlink>
      <w:r>
        <w:rPr>
          <w:rFonts w:ascii="arial" w:eastAsia="arial" w:hAnsi="arial" w:cs="arial"/>
          <w:b w:val="0"/>
          <w:i w:val="0"/>
          <w:strike w:val="0"/>
          <w:noProof w:val="0"/>
          <w:color w:val="000000"/>
          <w:position w:val="0"/>
          <w:sz w:val="20"/>
          <w:u w:val="none"/>
          <w:vertAlign w:val="baseline"/>
        </w:rPr>
        <w:t xml:space="preserve"> (considering calls with the defendant's mother). See also </w:t>
      </w:r>
      <w:bookmarkStart w:id="49" w:name="Bookmark_I6FR9GVN2HM61T0050000400"/>
      <w:bookmarkEnd w:id="49"/>
      <w:hyperlink r:id="rId63" w:history="1">
        <w:r>
          <w:rPr>
            <w:rFonts w:ascii="arial" w:eastAsia="arial" w:hAnsi="arial" w:cs="arial"/>
            <w:b w:val="0"/>
            <w:i/>
            <w:strike w:val="0"/>
            <w:noProof w:val="0"/>
            <w:color w:val="0077CC"/>
            <w:position w:val="0"/>
            <w:sz w:val="20"/>
            <w:u w:val="single"/>
            <w:shd w:val="clear" w:color="auto" w:fill="FFFFFF"/>
            <w:vertAlign w:val="baseline"/>
          </w:rPr>
          <w:t>Keller v. State</w:t>
        </w:r>
      </w:hyperlink>
      <w:hyperlink r:id="rId64" w:history="1">
        <w:r>
          <w:rPr>
            <w:rFonts w:ascii="arial" w:eastAsia="arial" w:hAnsi="arial" w:cs="arial"/>
            <w:b w:val="0"/>
            <w:i/>
            <w:strike w:val="0"/>
            <w:noProof w:val="0"/>
            <w:color w:val="0077CC"/>
            <w:position w:val="0"/>
            <w:sz w:val="20"/>
            <w:u w:val="single"/>
            <w:shd w:val="clear" w:color="auto" w:fill="FFFFFF"/>
            <w:vertAlign w:val="baseline"/>
          </w:rPr>
          <w:t>, 308 Ga. 492, 497 (2) (b) (842 SE2d 22) (2020)</w:t>
        </w:r>
      </w:hyperlink>
      <w:r>
        <w:rPr>
          <w:rFonts w:ascii="arial" w:eastAsia="arial" w:hAnsi="arial" w:cs="arial"/>
          <w:b w:val="0"/>
          <w:i w:val="0"/>
          <w:strike w:val="0"/>
          <w:noProof w:val="0"/>
          <w:color w:val="000000"/>
          <w:position w:val="0"/>
          <w:sz w:val="20"/>
          <w:u w:val="none"/>
          <w:vertAlign w:val="baseline"/>
        </w:rPr>
        <w:t xml:space="preserve"> (holding that the defendant did not have a reasonable expectation of privacy in a jail phone call made to his ex-wife and thus counsel's failure to file a motion to suppress the jail phone calls was not deficient performance). Because pretrial detainees do not have a reasonable expectation of privacy in their jail phone calls, the Sheriff's practice of sharing recorded calls with the District</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Attorney's Office and the use of those calls at trial does not violate the </w:t>
      </w:r>
      <w:hyperlink r:id="rId65" w:history="1">
        <w:r>
          <w:rPr>
            <w:rFonts w:ascii="arial" w:eastAsia="arial" w:hAnsi="arial" w:cs="arial"/>
            <w:b w:val="0"/>
            <w:i/>
            <w:strike w:val="0"/>
            <w:noProof w:val="0"/>
            <w:color w:val="0077CC"/>
            <w:position w:val="0"/>
            <w:sz w:val="20"/>
            <w:u w:val="single"/>
            <w:shd w:val="clear" w:color="auto" w:fill="FFFFFF"/>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I6FR9GVN2HM61V0050000400"/>
      <w:bookmarkEnd w:id="50"/>
      <w:r>
        <w:rPr>
          <w:rFonts w:ascii="arial" w:eastAsia="arial" w:hAnsi="arial" w:cs="arial"/>
          <w:b w:val="0"/>
          <w:i w:val="0"/>
          <w:strike w:val="0"/>
          <w:noProof w:val="0"/>
          <w:color w:val="000000"/>
          <w:position w:val="0"/>
          <w:sz w:val="20"/>
          <w:u w:val="none"/>
          <w:vertAlign w:val="baseline"/>
        </w:rPr>
        <w:t xml:space="preserve">Brantley does not challenge </w:t>
      </w:r>
      <w:bookmarkStart w:id="51" w:name="Bookmark_I6FR9GVN2HM61V0040000400"/>
      <w:bookmarkEnd w:id="51"/>
      <w:hyperlink r:id="rId66" w:history="1">
        <w:r>
          <w:rPr>
            <w:rFonts w:ascii="arial" w:eastAsia="arial" w:hAnsi="arial" w:cs="arial"/>
            <w:b w:val="0"/>
            <w:i/>
            <w:strike w:val="0"/>
            <w:noProof w:val="0"/>
            <w:color w:val="0077CC"/>
            <w:position w:val="0"/>
            <w:sz w:val="20"/>
            <w:u w:val="single"/>
            <w:shd w:val="clear" w:color="auto" w:fill="FFFFFF"/>
            <w:vertAlign w:val="baseline"/>
          </w:rPr>
          <w:t>Preston</w:t>
        </w:r>
      </w:hyperlink>
      <w:bookmarkStart w:id="52" w:name="Bookmark_I6FR9GVN2D6NM60020000400"/>
      <w:bookmarkEnd w:id="52"/>
      <w:r>
        <w:rPr>
          <w:rFonts w:ascii="arial" w:eastAsia="arial" w:hAnsi="arial" w:cs="arial"/>
          <w:b w:val="0"/>
          <w:i w:val="0"/>
          <w:strike w:val="0"/>
          <w:noProof w:val="0"/>
          <w:color w:val="000000"/>
          <w:position w:val="0"/>
          <w:sz w:val="20"/>
          <w:u w:val="none"/>
          <w:vertAlign w:val="baseline"/>
        </w:rPr>
        <w:t>'s holding but suggests there is an exception. Citing several cases, Brantley argues that when a</w:t>
      </w:r>
      <w:r>
        <w:rPr>
          <w:rFonts w:ascii="arial" w:eastAsia="arial" w:hAnsi="arial" w:cs="arial"/>
          <w:b w:val="0"/>
          <w:i w:val="0"/>
          <w:strike w:val="0"/>
          <w:noProof w:val="0"/>
          <w:color w:val="000000"/>
          <w:position w:val="0"/>
          <w:sz w:val="20"/>
          <w:u w:val="none"/>
          <w:vertAlign w:val="baseline"/>
        </w:rPr>
        <w:t> [*374] </w:t>
      </w:r>
      <w:r>
        <w:rPr>
          <w:rFonts w:ascii="arial" w:eastAsia="arial" w:hAnsi="arial" w:cs="arial"/>
          <w:b w:val="0"/>
          <w:i w:val="0"/>
          <w:strike w:val="0"/>
          <w:noProof w:val="0"/>
          <w:color w:val="000000"/>
          <w:position w:val="0"/>
          <w:sz w:val="20"/>
          <w:u w:val="none"/>
          <w:vertAlign w:val="baseline"/>
        </w:rPr>
        <w:t xml:space="preserve"> search is initiated solely for the purpose of bolstering the prosecution's case against the pretrial detainee, the detainee retains a limited expectation of privacy. </w:t>
      </w:r>
      <w:bookmarkStart w:id="53" w:name="Bookmark_I6FR9GVN2D6NM60020000400_2"/>
      <w:bookmarkEnd w:id="53"/>
      <w:r>
        <w:rPr>
          <w:rFonts w:ascii="arial" w:eastAsia="arial" w:hAnsi="arial" w:cs="arial"/>
          <w:b w:val="0"/>
          <w:i w:val="0"/>
          <w:strike w:val="0"/>
          <w:noProof w:val="0"/>
          <w:color w:val="000000"/>
          <w:position w:val="0"/>
          <w:sz w:val="20"/>
          <w:u w:val="none"/>
          <w:vertAlign w:val="baseline"/>
        </w:rPr>
        <w:t xml:space="preserve">See </w:t>
      </w:r>
      <w:bookmarkStart w:id="54" w:name="Bookmark_I6FR9GVN2D6NM60010000400"/>
      <w:bookmarkEnd w:id="54"/>
      <w:hyperlink r:id="rId67" w:history="1">
        <w:r>
          <w:rPr>
            <w:rFonts w:ascii="arial" w:eastAsia="arial" w:hAnsi="arial" w:cs="arial"/>
            <w:b w:val="0"/>
            <w:i/>
            <w:strike w:val="0"/>
            <w:noProof w:val="0"/>
            <w:color w:val="0077CC"/>
            <w:position w:val="0"/>
            <w:sz w:val="20"/>
            <w:u w:val="single"/>
            <w:shd w:val="clear" w:color="auto" w:fill="FFFFFF"/>
            <w:vertAlign w:val="baseline"/>
          </w:rPr>
          <w:t>Davis v. State</w:t>
        </w:r>
      </w:hyperlink>
      <w:hyperlink r:id="rId68" w:history="1">
        <w:r>
          <w:rPr>
            <w:rFonts w:ascii="arial" w:eastAsia="arial" w:hAnsi="arial" w:cs="arial"/>
            <w:b w:val="0"/>
            <w:i/>
            <w:strike w:val="0"/>
            <w:noProof w:val="0"/>
            <w:color w:val="0077CC"/>
            <w:position w:val="0"/>
            <w:sz w:val="20"/>
            <w:u w:val="single"/>
            <w:shd w:val="clear" w:color="auto" w:fill="FFFFFF"/>
            <w:vertAlign w:val="baseline"/>
          </w:rPr>
          <w:t>, 307 Ga. 625, 631 (3) (837 SE2d 817) (2020)</w:t>
        </w:r>
      </w:hyperlink>
      <w:r>
        <w:rPr>
          <w:rFonts w:ascii="arial" w:eastAsia="arial" w:hAnsi="arial" w:cs="arial"/>
          <w:b w:val="0"/>
          <w:i w:val="0"/>
          <w:strike w:val="0"/>
          <w:noProof w:val="0"/>
          <w:color w:val="000000"/>
          <w:position w:val="0"/>
          <w:sz w:val="20"/>
          <w:u w:val="none"/>
          <w:vertAlign w:val="baseline"/>
        </w:rPr>
        <w:t xml:space="preserve"> (citing </w:t>
      </w:r>
      <w:bookmarkStart w:id="55" w:name="Bookmark_I6FR9GVN2D6NM60030000400"/>
      <w:bookmarkEnd w:id="55"/>
      <w:hyperlink r:id="rId69" w:history="1">
        <w:r>
          <w:rPr>
            <w:rFonts w:ascii="arial" w:eastAsia="arial" w:hAnsi="arial" w:cs="arial"/>
            <w:b w:val="0"/>
            <w:i/>
            <w:strike w:val="0"/>
            <w:noProof w:val="0"/>
            <w:color w:val="0077CC"/>
            <w:position w:val="0"/>
            <w:sz w:val="20"/>
            <w:u w:val="single"/>
            <w:shd w:val="clear" w:color="auto" w:fill="FFFFFF"/>
            <w:vertAlign w:val="baseline"/>
          </w:rPr>
          <w:t>Leslie v. State</w:t>
        </w:r>
      </w:hyperlink>
      <w:hyperlink r:id="rId70" w:history="1">
        <w:r>
          <w:rPr>
            <w:rFonts w:ascii="arial" w:eastAsia="arial" w:hAnsi="arial" w:cs="arial"/>
            <w:b w:val="0"/>
            <w:i/>
            <w:strike w:val="0"/>
            <w:noProof w:val="0"/>
            <w:color w:val="0077CC"/>
            <w:position w:val="0"/>
            <w:sz w:val="20"/>
            <w:u w:val="single"/>
            <w:shd w:val="clear" w:color="auto" w:fill="FFFFFF"/>
            <w:vertAlign w:val="baseline"/>
          </w:rPr>
          <w:t>, 301 Ga. 882, 887 (3) (804 SE2d 351) (2017)</w:t>
        </w:r>
      </w:hyperlink>
      <w:r>
        <w:rPr>
          <w:rFonts w:ascii="arial" w:eastAsia="arial" w:hAnsi="arial" w:cs="arial"/>
          <w:b w:val="0"/>
          <w:i w:val="0"/>
          <w:strike w:val="0"/>
          <w:noProof w:val="0"/>
          <w:color w:val="000000"/>
          <w:position w:val="0"/>
          <w:sz w:val="20"/>
          <w:u w:val="none"/>
          <w:vertAlign w:val="baseline"/>
        </w:rPr>
        <w:t xml:space="preserve">; </w:t>
      </w:r>
      <w:bookmarkStart w:id="56" w:name="Bookmark_I6FR9GVN2D6NM60050000400"/>
      <w:bookmarkEnd w:id="56"/>
      <w:hyperlink r:id="rId71" w:history="1">
        <w:r>
          <w:rPr>
            <w:rFonts w:ascii="arial" w:eastAsia="arial" w:hAnsi="arial" w:cs="arial"/>
            <w:b w:val="0"/>
            <w:i/>
            <w:strike w:val="0"/>
            <w:noProof w:val="0"/>
            <w:color w:val="0077CC"/>
            <w:position w:val="0"/>
            <w:sz w:val="20"/>
            <w:u w:val="single"/>
            <w:shd w:val="clear" w:color="auto" w:fill="FFFFFF"/>
            <w:vertAlign w:val="baseline"/>
          </w:rPr>
          <w:t>State v. Henderson</w:t>
        </w:r>
      </w:hyperlink>
      <w:hyperlink r:id="rId72" w:history="1">
        <w:r>
          <w:rPr>
            <w:rFonts w:ascii="arial" w:eastAsia="arial" w:hAnsi="arial" w:cs="arial"/>
            <w:b w:val="0"/>
            <w:i/>
            <w:strike w:val="0"/>
            <w:noProof w:val="0"/>
            <w:color w:val="0077CC"/>
            <w:position w:val="0"/>
            <w:sz w:val="20"/>
            <w:u w:val="single"/>
            <w:shd w:val="clear" w:color="auto" w:fill="FFFFFF"/>
            <w:vertAlign w:val="baseline"/>
          </w:rPr>
          <w:t>, 271 Ga. 264 (517 SE2d 61) (1999)</w:t>
        </w:r>
      </w:hyperlink>
      <w:r>
        <w:rPr>
          <w:rFonts w:ascii="arial" w:eastAsia="arial" w:hAnsi="arial" w:cs="arial"/>
          <w:b w:val="0"/>
          <w:i w:val="0"/>
          <w:strike w:val="0"/>
          <w:noProof w:val="0"/>
          <w:color w:val="000000"/>
          <w:position w:val="0"/>
          <w:sz w:val="20"/>
          <w:u w:val="none"/>
          <w:vertAlign w:val="baseline"/>
        </w:rPr>
        <w:t xml:space="preserve">). </w:t>
      </w:r>
      <w:bookmarkStart w:id="57" w:name="Bookmark_I6FR9GVN2D6NM80030000400"/>
      <w:bookmarkEnd w:id="57"/>
      <w:r>
        <w:rPr>
          <w:rFonts w:ascii="arial" w:eastAsia="arial" w:hAnsi="arial" w:cs="arial"/>
          <w:b w:val="0"/>
          <w:i w:val="0"/>
          <w:strike w:val="0"/>
          <w:noProof w:val="0"/>
          <w:color w:val="000000"/>
          <w:position w:val="0"/>
          <w:sz w:val="20"/>
          <w:u w:val="none"/>
          <w:vertAlign w:val="baseline"/>
        </w:rPr>
        <w:t xml:space="preserve">But here, Brantley concedes that the recording served a legitimate security measure, and he points to no evidence that the recording was done solely for the purpose of uncovering incriminating evidence that could be used against him. Nevertheless, Brantley argues that the “sharing” of his calls with the District Attorney's Office violated his </w:t>
      </w:r>
      <w:hyperlink r:id="rId73" w:history="1">
        <w:r>
          <w:rPr>
            <w:rFonts w:ascii="arial" w:eastAsia="arial" w:hAnsi="arial" w:cs="arial"/>
            <w:b w:val="0"/>
            <w:i/>
            <w:strike w:val="0"/>
            <w:noProof w:val="0"/>
            <w:color w:val="0077CC"/>
            <w:position w:val="0"/>
            <w:sz w:val="20"/>
            <w:u w:val="single"/>
            <w:shd w:val="clear" w:color="auto" w:fill="FFFFFF"/>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t>
      </w:r>
      <w:bookmarkStart w:id="58" w:name="Bookmark_I6FR9GVN2D6NM80050000400"/>
      <w:bookmarkEnd w:id="58"/>
      <w:r>
        <w:rPr>
          <w:rFonts w:ascii="arial" w:eastAsia="arial" w:hAnsi="arial" w:cs="arial"/>
          <w:b w:val="0"/>
          <w:i w:val="0"/>
          <w:strike w:val="0"/>
          <w:noProof w:val="0"/>
          <w:color w:val="000000"/>
          <w:position w:val="0"/>
          <w:sz w:val="20"/>
          <w:u w:val="none"/>
          <w:vertAlign w:val="baseline"/>
        </w:rPr>
        <w:t xml:space="preserve">Not so. Once Brantley talked to a third party on the jail's recorded phone system, he “necessarily risk[ed]” that this information would be disclosed to law enforcement. </w:t>
      </w:r>
      <w:bookmarkStart w:id="59" w:name="Bookmark_II08FX7YT8YW003RRJGG00B8H"/>
      <w:bookmarkEnd w:id="59"/>
      <w:bookmarkStart w:id="60" w:name="Bookmark_I6FR9GVP2HM6230020000400"/>
      <w:bookmarkEnd w:id="60"/>
      <w:r>
        <w:rPr>
          <w:rFonts w:ascii="arial" w:eastAsia="arial" w:hAnsi="arial" w:cs="arial"/>
          <w:b w:val="0"/>
          <w:i w:val="0"/>
          <w:strike w:val="0"/>
          <w:noProof w:val="0"/>
          <w:color w:val="000000"/>
          <w:position w:val="0"/>
          <w:sz w:val="20"/>
          <w:u w:val="none"/>
          <w:vertAlign w:val="baseline"/>
        </w:rPr>
        <w:t xml:space="preserve">See </w:t>
      </w:r>
      <w:bookmarkStart w:id="61" w:name="Bookmark_I6FR9GVN2D6NM80020000400"/>
      <w:bookmarkEnd w:id="61"/>
      <w:hyperlink r:id="rId74" w:history="1">
        <w:r>
          <w:rPr>
            <w:rFonts w:ascii="arial" w:eastAsia="arial" w:hAnsi="arial" w:cs="arial"/>
            <w:b w:val="0"/>
            <w:i/>
            <w:strike w:val="0"/>
            <w:noProof w:val="0"/>
            <w:color w:val="0077CC"/>
            <w:position w:val="0"/>
            <w:sz w:val="20"/>
            <w:u w:val="single"/>
            <w:shd w:val="clear" w:color="auto" w:fill="FFFFFF"/>
            <w:vertAlign w:val="baseline"/>
          </w:rPr>
          <w:t>United States v. White</w:t>
        </w:r>
      </w:hyperlink>
      <w:hyperlink r:id="rId75" w:history="1">
        <w:r>
          <w:rPr>
            <w:rFonts w:ascii="arial" w:eastAsia="arial" w:hAnsi="arial" w:cs="arial"/>
            <w:b w:val="0"/>
            <w:i/>
            <w:strike w:val="0"/>
            <w:noProof w:val="0"/>
            <w:color w:val="0077CC"/>
            <w:position w:val="0"/>
            <w:sz w:val="20"/>
            <w:u w:val="single"/>
            <w:shd w:val="clear" w:color="auto" w:fill="FFFFFF"/>
            <w:vertAlign w:val="baseline"/>
          </w:rPr>
          <w:t>, 401 U.S. 745, 751 (91 SCt 1122, 28 LE2d 453) (1971)</w:t>
        </w:r>
      </w:hyperlink>
      <w:r>
        <w:rPr>
          <w:rFonts w:ascii="arial" w:eastAsia="arial" w:hAnsi="arial" w:cs="arial"/>
          <w:b w:val="0"/>
          <w:i w:val="0"/>
          <w:strike w:val="0"/>
          <w:noProof w:val="0"/>
          <w:color w:val="000000"/>
          <w:position w:val="0"/>
          <w:sz w:val="20"/>
          <w:u w:val="none"/>
          <w:vertAlign w:val="baseline"/>
        </w:rPr>
        <w:t xml:space="preserve">. </w:t>
      </w:r>
      <w:bookmarkStart w:id="62" w:name="Bookmark_I6FR9GVP2HM6230020000400_2"/>
      <w:bookmarkEnd w:id="62"/>
      <w:bookmarkStart w:id="63" w:name="Bookmark_I6FR9GVN2D6NM80050000400_2"/>
      <w:bookmarkEnd w:id="63"/>
      <w:r>
        <w:rPr>
          <w:rFonts w:ascii="arial" w:eastAsia="arial" w:hAnsi="arial" w:cs="arial"/>
          <w:b w:val="0"/>
          <w:i w:val="0"/>
          <w:strike w:val="0"/>
          <w:noProof w:val="0"/>
          <w:color w:val="000000"/>
          <w:position w:val="0"/>
          <w:sz w:val="20"/>
          <w:u w:val="none"/>
          <w:vertAlign w:val="baseline"/>
        </w:rPr>
        <w:t xml:space="preserve">See also </w:t>
      </w:r>
      <w:bookmarkStart w:id="64" w:name="Bookmark_I6FR9GVN2D6NM80040000400"/>
      <w:bookmarkEnd w:id="64"/>
      <w:hyperlink r:id="rId76" w:history="1">
        <w:r>
          <w:rPr>
            <w:rFonts w:ascii="arial" w:eastAsia="arial" w:hAnsi="arial" w:cs="arial"/>
            <w:b w:val="0"/>
            <w:i/>
            <w:strike w:val="0"/>
            <w:noProof w:val="0"/>
            <w:color w:val="0077CC"/>
            <w:position w:val="0"/>
            <w:sz w:val="20"/>
            <w:u w:val="single"/>
            <w:shd w:val="clear" w:color="auto" w:fill="FFFFFF"/>
            <w:vertAlign w:val="baseline"/>
          </w:rPr>
          <w:t>Smith v. Maryland</w:t>
        </w:r>
      </w:hyperlink>
      <w:hyperlink r:id="rId77" w:history="1">
        <w:r>
          <w:rPr>
            <w:rFonts w:ascii="arial" w:eastAsia="arial" w:hAnsi="arial" w:cs="arial"/>
            <w:b w:val="0"/>
            <w:i/>
            <w:strike w:val="0"/>
            <w:noProof w:val="0"/>
            <w:color w:val="0077CC"/>
            <w:position w:val="0"/>
            <w:sz w:val="20"/>
            <w:u w:val="single"/>
            <w:shd w:val="clear" w:color="auto" w:fill="FFFFFF"/>
            <w:vertAlign w:val="baseline"/>
          </w:rPr>
          <w:t>, 442 U.S. 735, 743-744 (99 SCt 2577, 61 LE2d 220) (1979)</w:t>
        </w:r>
      </w:hyperlink>
      <w:r>
        <w:rPr>
          <w:rFonts w:ascii="arial" w:eastAsia="arial" w:hAnsi="arial" w:cs="arial"/>
          <w:b w:val="0"/>
          <w:i w:val="0"/>
          <w:strike w:val="0"/>
          <w:noProof w:val="0"/>
          <w:color w:val="000000"/>
          <w:position w:val="0"/>
          <w:sz w:val="20"/>
          <w:u w:val="none"/>
          <w:vertAlign w:val="baseline"/>
        </w:rPr>
        <w:t xml:space="preserve"> (The Supreme Court has “consistently … held that a person has no legitimate expectation of privacy in information he voluntarily turns over to third parties.”). In short, our precedent directly on point about jail calls applies, and it requires us to conclude that Brantley,</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who was explicitly warned that his calls would be monitored and recorded, did not have a “reasonable expectation of privacy in the calls he placed … from jail.” </w:t>
      </w:r>
      <w:bookmarkStart w:id="65" w:name="Bookmark_I6FR9GVP2HM6230010000400"/>
      <w:bookmarkEnd w:id="65"/>
      <w:hyperlink r:id="rId78" w:history="1">
        <w:r>
          <w:rPr>
            <w:rFonts w:ascii="arial" w:eastAsia="arial" w:hAnsi="arial" w:cs="arial"/>
            <w:b w:val="0"/>
            <w:i/>
            <w:strike w:val="0"/>
            <w:noProof w:val="0"/>
            <w:color w:val="0077CC"/>
            <w:position w:val="0"/>
            <w:sz w:val="20"/>
            <w:u w:val="single"/>
            <w:shd w:val="clear" w:color="auto" w:fill="FFFFFF"/>
            <w:vertAlign w:val="baseline"/>
          </w:rPr>
          <w:t>Preston</w:t>
        </w:r>
      </w:hyperlink>
      <w:hyperlink r:id="rId79" w:history="1">
        <w:r>
          <w:rPr>
            <w:rFonts w:ascii="arial" w:eastAsia="arial" w:hAnsi="arial" w:cs="arial"/>
            <w:b w:val="0"/>
            <w:i/>
            <w:strike w:val="0"/>
            <w:noProof w:val="0"/>
            <w:color w:val="0077CC"/>
            <w:position w:val="0"/>
            <w:sz w:val="20"/>
            <w:u w:val="single"/>
            <w:shd w:val="clear" w:color="auto" w:fill="FFFFFF"/>
            <w:vertAlign w:val="baseline"/>
          </w:rPr>
          <w:t>, 282 Ga. at 214 (4)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[**811] </w:t>
      </w:r>
      <w:r>
        <w:rPr>
          <w:rFonts w:ascii="arial" w:eastAsia="arial" w:hAnsi="arial" w:cs="arial"/>
          <w:b w:val="0"/>
          <w:i w:val="0"/>
          <w:strike w:val="0"/>
          <w:noProof w:val="0"/>
          <w:color w:val="000000"/>
          <w:position w:val="0"/>
          <w:sz w:val="20"/>
          <w:u w:val="none"/>
          <w:vertAlign w:val="baseline"/>
        </w:rPr>
        <w:t xml:space="preserve"> (b) Second, the trial court erred in concluding that recording Brantley's jail phone calls for use at trial violated the </w:t>
      </w:r>
      <w:hyperlink r:id="rId80" w:history="1">
        <w:r>
          <w:rPr>
            <w:rFonts w:ascii="arial" w:eastAsia="arial" w:hAnsi="arial" w:cs="arial"/>
            <w:b w:val="0"/>
            <w:i/>
            <w:strike w:val="0"/>
            <w:noProof w:val="0"/>
            <w:color w:val="0077CC"/>
            <w:position w:val="0"/>
            <w:sz w:val="20"/>
            <w:u w:val="single"/>
            <w:shd w:val="clear" w:color="auto" w:fill="FFFFFF"/>
            <w:vertAlign w:val="baseline"/>
          </w:rPr>
          <w:t>Equal Protection Clause of the Fourteenth Amendment</w:t>
        </w:r>
      </w:hyperlink>
      <w:r>
        <w:rPr>
          <w:rFonts w:ascii="arial" w:eastAsia="arial" w:hAnsi="arial" w:cs="arial"/>
          <w:b w:val="0"/>
          <w:i w:val="0"/>
          <w:strike w:val="0"/>
          <w:noProof w:val="0"/>
          <w:color w:val="000000"/>
          <w:position w:val="0"/>
          <w:sz w:val="20"/>
          <w:u w:val="none"/>
          <w:vertAlign w:val="baseline"/>
        </w:rPr>
        <w:t>. Specifically, the trial court reasoned that, unlike a defendant who is in custody, a defendant who is out on bond “has the ability to call his family and friends without his calls being monitored by the State” absent a wiretap warrant; thus, the trial court concluded that, because Brantley was treated differently than a defendant who is out on bond, the State's access to Brantley's jail phone calls violated his equal protection rights.</w:t>
      </w:r>
    </w:p>
    <w:p>
      <w:pPr>
        <w:keepNext w:val="0"/>
        <w:spacing w:before="240" w:after="0" w:line="260" w:lineRule="atLeast"/>
        <w:ind w:left="0" w:right="0" w:firstLine="0"/>
        <w:jc w:val="both"/>
      </w:pPr>
      <w:bookmarkStart w:id="66" w:name="Bookmark_I6FR9GVP2HM6230040000400"/>
      <w:bookmarkEnd w:id="66"/>
      <w:bookmarkStart w:id="67" w:name="Bookmark_I6FR9GVP2D6NMD0010000400"/>
      <w:bookmarkEnd w:id="67"/>
      <w:bookmarkStart w:id="68" w:name="Bookmark_LNHNREFclscc6"/>
      <w:bookmarkEnd w:id="68"/>
      <w:r>
        <w:rPr>
          <w:rFonts w:ascii="arial" w:eastAsia="arial" w:hAnsi="arial" w:cs="arial"/>
          <w:b w:val="0"/>
          <w:i w:val="0"/>
          <w:strike w:val="0"/>
          <w:noProof w:val="0"/>
          <w:color w:val="000000"/>
          <w:position w:val="0"/>
          <w:sz w:val="20"/>
          <w:u w:val="none"/>
          <w:vertAlign w:val="baseline"/>
        </w:rPr>
        <w:t xml:space="preserve">The </w:t>
      </w:r>
      <w:hyperlink r:id="rId81" w:history="1">
        <w:r>
          <w:rPr>
            <w:rFonts w:ascii="arial" w:eastAsia="arial" w:hAnsi="arial" w:cs="arial"/>
            <w:b w:val="0"/>
            <w:i/>
            <w:strike w:val="0"/>
            <w:noProof w:val="0"/>
            <w:color w:val="0077CC"/>
            <w:position w:val="0"/>
            <w:sz w:val="20"/>
            <w:u w:val="single"/>
            <w:shd w:val="clear" w:color="auto" w:fill="FFFFFF"/>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requires that “similarly situated persons be treated alike[.]” See </w:t>
      </w:r>
      <w:bookmarkStart w:id="69" w:name="Bookmark_I6FR9GVP2HM6230030000400"/>
      <w:bookmarkEnd w:id="69"/>
      <w:hyperlink r:id="rId82" w:history="1">
        <w:r>
          <w:rPr>
            <w:rFonts w:ascii="arial" w:eastAsia="arial" w:hAnsi="arial" w:cs="arial"/>
            <w:b w:val="0"/>
            <w:i/>
            <w:strike w:val="0"/>
            <w:noProof w:val="0"/>
            <w:color w:val="0077CC"/>
            <w:position w:val="0"/>
            <w:sz w:val="20"/>
            <w:u w:val="single"/>
            <w:shd w:val="clear" w:color="auto" w:fill="FFFFFF"/>
            <w:vertAlign w:val="baseline"/>
          </w:rPr>
          <w:t>Regan v. State</w:t>
        </w:r>
      </w:hyperlink>
      <w:hyperlink r:id="rId83" w:history="1">
        <w:r>
          <w:rPr>
            <w:rFonts w:ascii="arial" w:eastAsia="arial" w:hAnsi="arial" w:cs="arial"/>
            <w:b w:val="0"/>
            <w:i/>
            <w:strike w:val="0"/>
            <w:noProof w:val="0"/>
            <w:color w:val="0077CC"/>
            <w:position w:val="0"/>
            <w:sz w:val="20"/>
            <w:u w:val="single"/>
            <w:shd w:val="clear" w:color="auto" w:fill="FFFFFF"/>
            <w:vertAlign w:val="baseline"/>
          </w:rPr>
          <w:t>, 317 Ga. 612, 616 (3) (b) (894 SE2d 584) (2023)</w:t>
        </w:r>
      </w:hyperlink>
      <w:r>
        <w:rPr>
          <w:rFonts w:ascii="arial" w:eastAsia="arial" w:hAnsi="arial" w:cs="arial"/>
          <w:b w:val="0"/>
          <w:i w:val="0"/>
          <w:strike w:val="0"/>
          <w:noProof w:val="0"/>
          <w:color w:val="000000"/>
          <w:position w:val="0"/>
          <w:sz w:val="20"/>
          <w:u w:val="none"/>
          <w:vertAlign w:val="baseline"/>
        </w:rPr>
        <w:t xml:space="preserve">. </w:t>
      </w:r>
      <w:bookmarkStart w:id="70" w:name="Bookmark_I6FR9GVP2D6NMD0030000400"/>
      <w:bookmarkEnd w:id="70"/>
      <w:r>
        <w:rPr>
          <w:rFonts w:ascii="arial" w:eastAsia="arial" w:hAnsi="arial" w:cs="arial"/>
          <w:b w:val="0"/>
          <w:i w:val="0"/>
          <w:strike w:val="0"/>
          <w:noProof w:val="0"/>
          <w:color w:val="000000"/>
          <w:position w:val="0"/>
          <w:sz w:val="20"/>
          <w:u w:val="none"/>
          <w:vertAlign w:val="baseline"/>
        </w:rPr>
        <w:t xml:space="preserve">Although it prohibits classifications that fail to promote a legitimate state purpose, the </w:t>
      </w:r>
      <w:hyperlink r:id="rId84" w:history="1">
        <w:r>
          <w:rPr>
            <w:rFonts w:ascii="arial" w:eastAsia="arial" w:hAnsi="arial" w:cs="arial"/>
            <w:b w:val="0"/>
            <w:i/>
            <w:strike w:val="0"/>
            <w:noProof w:val="0"/>
            <w:color w:val="0077CC"/>
            <w:position w:val="0"/>
            <w:sz w:val="20"/>
            <w:u w:val="single"/>
            <w:shd w:val="clear" w:color="auto" w:fill="FFFFFF"/>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does not forbid all classifications. See </w:t>
      </w:r>
      <w:bookmarkStart w:id="71" w:name="Bookmark_I6FR9GVP2HM6230050000400"/>
      <w:bookmarkEnd w:id="71"/>
      <w:hyperlink r:id="rId85" w:history="1">
        <w:r>
          <w:rPr>
            <w:rFonts w:ascii="arial" w:eastAsia="arial" w:hAnsi="arial" w:cs="arial"/>
            <w:b w:val="0"/>
            <w:i/>
            <w:strike w:val="0"/>
            <w:noProof w:val="0"/>
            <w:color w:val="0077CC"/>
            <w:position w:val="0"/>
            <w:sz w:val="20"/>
            <w:u w:val="single"/>
            <w:shd w:val="clear" w:color="auto" w:fill="FFFFFF"/>
            <w:vertAlign w:val="baseline"/>
          </w:rPr>
          <w:t>id. at 616-617 (3) (b)</w:t>
        </w:r>
      </w:hyperlink>
      <w:r>
        <w:rPr>
          <w:rFonts w:ascii="arial" w:eastAsia="arial" w:hAnsi="arial" w:cs="arial"/>
          <w:b w:val="0"/>
          <w:i w:val="0"/>
          <w:strike w:val="0"/>
          <w:noProof w:val="0"/>
          <w:color w:val="000000"/>
          <w:position w:val="0"/>
          <w:sz w:val="20"/>
          <w:u w:val="none"/>
          <w:vertAlign w:val="baseline"/>
        </w:rPr>
        <w:t xml:space="preserve">. </w:t>
      </w:r>
      <w:bookmarkStart w:id="72" w:name="Bookmark_I6FR9GVP2D6NMD0030000400_2"/>
      <w:bookmarkEnd w:id="72"/>
      <w:r>
        <w:rPr>
          <w:rFonts w:ascii="arial" w:eastAsia="arial" w:hAnsi="arial" w:cs="arial"/>
          <w:b w:val="0"/>
          <w:i w:val="0"/>
          <w:strike w:val="0"/>
          <w:noProof w:val="0"/>
          <w:color w:val="000000"/>
          <w:position w:val="0"/>
          <w:sz w:val="20"/>
          <w:u w:val="none"/>
          <w:vertAlign w:val="baseline"/>
        </w:rPr>
        <w:t>Thus, to prevail on an equal protection challenge, a claimant must demonstrate that the classification scheme at issue “bears no rational relationship to a legitimate government interest,” when, as is the case here, the claimant is not a member of a suspect class</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a</w:t>
      </w:r>
      <w:r>
        <w:rPr>
          <w:rFonts w:ascii="arial" w:eastAsia="arial" w:hAnsi="arial" w:cs="arial"/>
          <w:b w:val="0"/>
          <w:i w:val="0"/>
          <w:strike w:val="0"/>
          <w:noProof w:val="0"/>
          <w:color w:val="000000"/>
          <w:position w:val="0"/>
          <w:sz w:val="20"/>
          <w:u w:val="none"/>
          <w:vertAlign w:val="baseline"/>
        </w:rPr>
        <w:t> [*375] </w:t>
      </w:r>
      <w:r>
        <w:rPr>
          <w:rFonts w:ascii="arial" w:eastAsia="arial" w:hAnsi="arial" w:cs="arial"/>
          <w:b w:val="0"/>
          <w:i w:val="0"/>
          <w:strike w:val="0"/>
          <w:noProof w:val="0"/>
          <w:color w:val="000000"/>
          <w:position w:val="0"/>
          <w:sz w:val="20"/>
          <w:u w:val="none"/>
          <w:vertAlign w:val="baseline"/>
        </w:rPr>
        <w:t xml:space="preserve"> fundamental right is not at stake.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See </w:t>
      </w:r>
      <w:bookmarkStart w:id="74" w:name="Bookmark_I6FR9GVP2D6NMD0020000400"/>
      <w:bookmarkEnd w:id="74"/>
      <w:hyperlink r:id="rId86" w:history="1">
        <w:r>
          <w:rPr>
            <w:rFonts w:ascii="arial" w:eastAsia="arial" w:hAnsi="arial" w:cs="arial"/>
            <w:b w:val="0"/>
            <w:i/>
            <w:strike w:val="0"/>
            <w:noProof w:val="0"/>
            <w:color w:val="0077CC"/>
            <w:position w:val="0"/>
            <w:sz w:val="20"/>
            <w:u w:val="single"/>
            <w:shd w:val="clear" w:color="auto" w:fill="FFFFFF"/>
            <w:vertAlign w:val="baseline"/>
          </w:rPr>
          <w:t>Reyes v. State</w:t>
        </w:r>
      </w:hyperlink>
      <w:hyperlink r:id="rId87" w:history="1">
        <w:r>
          <w:rPr>
            <w:rFonts w:ascii="arial" w:eastAsia="arial" w:hAnsi="arial" w:cs="arial"/>
            <w:b w:val="0"/>
            <w:i/>
            <w:strike w:val="0"/>
            <w:noProof w:val="0"/>
            <w:color w:val="0077CC"/>
            <w:position w:val="0"/>
            <w:sz w:val="20"/>
            <w:u w:val="single"/>
            <w:shd w:val="clear" w:color="auto" w:fill="FFFFFF"/>
            <w:vertAlign w:val="baseline"/>
          </w:rPr>
          <w:t>, 318 Ga. 340, 345-346 (2) (a) (i)-(ii) (898 SE2d 473) (2024)</w:t>
        </w:r>
      </w:hyperlink>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t>
      </w:r>
      <w:bookmarkStart w:id="75" w:name="Bookmark__3"/>
      <w:bookmarkEnd w:id="75"/>
      <w:r>
        <w:rPr>
          <w:rFonts w:ascii="arial" w:eastAsia="arial" w:hAnsi="arial" w:cs="arial"/>
          <w:b w:val="0"/>
          <w:i w:val="0"/>
          <w:strike w:val="0"/>
          <w:noProof w:val="0"/>
          <w:color w:val="000000"/>
          <w:position w:val="0"/>
          <w:sz w:val="20"/>
          <w:u w:val="none"/>
          <w:vertAlign w:val="baseline"/>
        </w:rPr>
        <w:t xml:space="preserve">(3) the trial court erred; a nonincarcerated defendant is not similarly situated to an incarcerated defendant as relevant to Brantley's claims here. And the State's differing treatment is rationally related to a legitimate purpose, namely maintaining jail security. Accordingly, recording Brantley's jail phone calls for use at trial does not violate the </w:t>
      </w:r>
      <w:hyperlink r:id="rId88" w:history="1">
        <w:r>
          <w:rPr>
            <w:rFonts w:ascii="arial" w:eastAsia="arial" w:hAnsi="arial" w:cs="arial"/>
            <w:b w:val="0"/>
            <w:i/>
            <w:strike w:val="0"/>
            <w:noProof w:val="0"/>
            <w:color w:val="0077CC"/>
            <w:position w:val="0"/>
            <w:sz w:val="20"/>
            <w:u w:val="single"/>
            <w:shd w:val="clear" w:color="auto" w:fill="FFFFFF"/>
            <w:vertAlign w:val="baseline"/>
          </w:rPr>
          <w:t>Equal Protection Clause</w:t>
        </w:r>
      </w:hyperlink>
      <w:r>
        <w:rPr>
          <w:rFonts w:ascii="arial" w:eastAsia="arial" w:hAnsi="arial" w:cs="arial"/>
          <w:b w:val="0"/>
          <w:i w:val="0"/>
          <w:strike w:val="0"/>
          <w:noProof w:val="0"/>
          <w:color w:val="000000"/>
          <w:position w:val="0"/>
          <w:sz w:val="20"/>
          <w:u w:val="none"/>
          <w:vertAlign w:val="baseline"/>
        </w:rPr>
        <w:t>. We reverse the trial court's order. On remand, the trial court should consider the remaining grounds Brantley raised for excluding portions of his jail calls to the extent that Brantley still asserts those grounds and the trial court has not yet reached them.</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Warren, PJ, and Bethel, Ellington, McMillian, LaGrua, Colvin, and Pinson, JJ,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 xml:space="preserve">Because Brantley's motion in limine was filed less than 30 days before the trial's scheduled start date, the State's appeal of the order granting that motion would not be permitted under </w:t>
      </w:r>
      <w:hyperlink r:id="rId1" w:history="1">
        <w:r>
          <w:rPr>
            <w:rFonts w:ascii="arial" w:eastAsia="arial" w:hAnsi="arial" w:cs="arial"/>
            <w:b w:val="0"/>
            <w:i/>
            <w:strike w:val="0"/>
            <w:noProof w:val="0"/>
            <w:color w:val="0077CC"/>
            <w:position w:val="0"/>
            <w:sz w:val="18"/>
            <w:u w:val="single"/>
            <w:shd w:val="clear" w:color="auto" w:fill="FFFFFF"/>
            <w:vertAlign w:val="baseline"/>
          </w:rPr>
          <w:t>OCGA § 5-7-1 (a) (5)</w:t>
        </w:r>
      </w:hyperlink>
      <w:r>
        <w:rPr>
          <w:rFonts w:ascii="arial" w:eastAsia="arial" w:hAnsi="arial" w:cs="arial"/>
          <w:b w:val="0"/>
          <w:i w:val="0"/>
          <w:strike w:val="0"/>
          <w:noProof w:val="0"/>
          <w:color w:val="000000"/>
          <w:position w:val="0"/>
          <w:sz w:val="18"/>
          <w:u w:val="none"/>
          <w:vertAlign w:val="baseline"/>
        </w:rPr>
        <w:t xml:space="preserve">. Additionally, the State did not include the certifications required by </w:t>
      </w:r>
      <w:hyperlink r:id="rId2" w:history="1">
        <w:r>
          <w:rPr>
            <w:rFonts w:ascii="arial" w:eastAsia="arial" w:hAnsi="arial" w:cs="arial"/>
            <w:b w:val="0"/>
            <w:i/>
            <w:strike w:val="0"/>
            <w:noProof w:val="0"/>
            <w:color w:val="0077CC"/>
            <w:position w:val="0"/>
            <w:sz w:val="18"/>
            <w:u w:val="single"/>
            <w:shd w:val="clear" w:color="auto" w:fill="FFFFFF"/>
            <w:vertAlign w:val="baseline"/>
          </w:rPr>
          <w:t>OCGA § 5-7-1 (a) (5) (B)</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4" w:name="Bookmark_fnpara_2"/>
      <w:bookmarkEnd w:id="44"/>
      <w:r>
        <w:rPr>
          <w:rFonts w:ascii="arial" w:eastAsia="arial" w:hAnsi="arial" w:cs="arial"/>
          <w:b w:val="0"/>
          <w:i w:val="0"/>
          <w:strike w:val="0"/>
          <w:noProof w:val="0"/>
          <w:color w:val="000000"/>
          <w:position w:val="0"/>
          <w:sz w:val="18"/>
          <w:u w:val="none"/>
          <w:vertAlign w:val="baseline"/>
        </w:rPr>
        <w:t xml:space="preserve">Because neither the parties nor the trial court distinguished Brantley's federal privacy claim from his state privacy claim and because Brantley does not argue that the Georgia Constitution provides more protections than the United States Constitution in this context, we limit our analysis to a pretrial detainee's expectation of privacy under the </w:t>
      </w:r>
      <w:hyperlink r:id="rId3" w:history="1">
        <w:r>
          <w:rPr>
            <w:rFonts w:ascii="arial" w:eastAsia="arial" w:hAnsi="arial" w:cs="arial"/>
            <w:b w:val="0"/>
            <w:i/>
            <w:strike w:val="0"/>
            <w:noProof w:val="0"/>
            <w:color w:val="0077CC"/>
            <w:position w:val="0"/>
            <w:sz w:val="18"/>
            <w:u w:val="single"/>
            <w:shd w:val="clear" w:color="auto" w:fill="FFFFFF"/>
            <w:vertAlign w:val="baseline"/>
          </w:rPr>
          <w:t>Fourth Amendment to the United States Constitution</w:t>
        </w:r>
      </w:hyperlink>
      <w:r>
        <w:rPr>
          <w:rFonts w:ascii="arial" w:eastAsia="arial" w:hAnsi="arial" w:cs="arial"/>
          <w:b w:val="0"/>
          <w:i w:val="0"/>
          <w:strike w:val="0"/>
          <w:noProof w:val="0"/>
          <w:color w:val="000000"/>
          <w:position w:val="0"/>
          <w:sz w:val="18"/>
          <w:u w:val="none"/>
          <w:vertAlign w:val="baseline"/>
        </w:rPr>
        <w:t xml:space="preserve">. See </w:t>
      </w:r>
      <w:bookmarkStart w:id="45" w:name="Bookmark_I6FR9GVN2HM61V0020000400"/>
      <w:bookmarkEnd w:id="45"/>
      <w:hyperlink r:id="rId4" w:history="1">
        <w:r>
          <w:rPr>
            <w:rFonts w:ascii="arial" w:eastAsia="arial" w:hAnsi="arial" w:cs="arial"/>
            <w:b w:val="0"/>
            <w:i/>
            <w:strike w:val="0"/>
            <w:noProof w:val="0"/>
            <w:color w:val="0077CC"/>
            <w:position w:val="0"/>
            <w:sz w:val="18"/>
            <w:u w:val="single"/>
            <w:shd w:val="clear" w:color="auto" w:fill="FFFFFF"/>
            <w:vertAlign w:val="baseline"/>
          </w:rPr>
          <w:t>Regan v. State</w:t>
        </w:r>
      </w:hyperlink>
      <w:hyperlink r:id="rId5" w:history="1">
        <w:r>
          <w:rPr>
            <w:rFonts w:ascii="arial" w:eastAsia="arial" w:hAnsi="arial" w:cs="arial"/>
            <w:b w:val="0"/>
            <w:i/>
            <w:strike w:val="0"/>
            <w:noProof w:val="0"/>
            <w:color w:val="0077CC"/>
            <w:position w:val="0"/>
            <w:sz w:val="18"/>
            <w:u w:val="single"/>
            <w:shd w:val="clear" w:color="auto" w:fill="FFFFFF"/>
            <w:vertAlign w:val="baseline"/>
          </w:rPr>
          <w:t>, 317 Ga. 612, 612 n.2 (894 SE2d 584) (2023)</w:t>
        </w:r>
      </w:hyperlink>
      <w:r>
        <w:rPr>
          <w:rFonts w:ascii="arial" w:eastAsia="arial" w:hAnsi="arial" w:cs="arial"/>
          <w:b w:val="0"/>
          <w:i w:val="0"/>
          <w:strike w:val="0"/>
          <w:noProof w:val="0"/>
          <w:color w:val="000000"/>
          <w:position w:val="0"/>
          <w:sz w:val="18"/>
          <w:u w:val="none"/>
          <w:vertAlign w:val="baseline"/>
        </w:rPr>
        <w:t xml:space="preserve"> (declining to consider the defendant's equal protection claims under the Georgia Constitution where neither the defendant nor the trial court distinguished between the defendant's claims under the federal and state constitutions).</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73" w:name="Bookmark_fnpara_3"/>
      <w:bookmarkEnd w:id="73"/>
      <w:r>
        <w:rPr>
          <w:rFonts w:ascii="arial" w:eastAsia="arial" w:hAnsi="arial" w:cs="arial"/>
          <w:b w:val="0"/>
          <w:i w:val="0"/>
          <w:strike w:val="0"/>
          <w:noProof w:val="0"/>
          <w:color w:val="000000"/>
          <w:position w:val="0"/>
          <w:sz w:val="18"/>
          <w:u w:val="none"/>
          <w:vertAlign w:val="baseline"/>
        </w:rPr>
        <w:t>Brantley does not argue on appeal that he is a member of a suspect class or that the State's practice of recording incarcerated defendants' phone calls implicates a fundamental right.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State v. Brantley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FHV-THJ3-RSX6-M00H-00000-00&amp;context=1530671" TargetMode="External" /><Relationship Id="rId11" Type="http://schemas.openxmlformats.org/officeDocument/2006/relationships/hyperlink" Target="https://plus.lexis.com/api/document?collection=cases&amp;id=urn:contentItem:6FHV-THJ3-RSX6-M00H-00000-00&amp;context=1530671" TargetMode="External" /><Relationship Id="rId12" Type="http://schemas.openxmlformats.org/officeDocument/2006/relationships/hyperlink" Target="https://plus.lexis.com/api/document?collection=cases&amp;id=urn:contentItem:6FHV-THJ3-RSX6-M00H-00000-00&amp;context=1530671" TargetMode="External" /><Relationship Id="rId13" Type="http://schemas.openxmlformats.org/officeDocument/2006/relationships/hyperlink" Target="https://plus.lexis.com/api/document?collection=statutes-legislation&amp;id=urn:contentItem:683T-FGK3-GXF6-81FY-00000-00&amp;context=1530671" TargetMode="External" /><Relationship Id="rId14" Type="http://schemas.openxmlformats.org/officeDocument/2006/relationships/hyperlink" Target="https://plus.lexis.com/api/document?collection=statutes-legislation&amp;id=urn:contentItem:683T-FGK3-GXF6-81FY-00000-00&amp;context=1530671" TargetMode="External" /><Relationship Id="rId15" Type="http://schemas.openxmlformats.org/officeDocument/2006/relationships/hyperlink" Target="https://plus.lexis.com/api/document?collection=statutes-legislation&amp;id=urn:contentItem:8T9R-T5M2-D6RV-H38C-00000-00&amp;context=1530671" TargetMode="External" /><Relationship Id="rId16" Type="http://schemas.openxmlformats.org/officeDocument/2006/relationships/hyperlink" Target="https://plus.lexis.com/api/document?collection=statutes-legislation&amp;id=urn:contentItem:8T9R-T5M2-D6RV-H38C-00000-00&amp;context=1530671" TargetMode="External" /><Relationship Id="rId17" Type="http://schemas.openxmlformats.org/officeDocument/2006/relationships/hyperlink" Target="https://plus.lexis.com/api/document?collection=statutes-legislation&amp;id=urn:contentItem:8T9R-T3H2-D6RV-H37G-00000-00&amp;context=1530671" TargetMode="External" /><Relationship Id="rId18" Type="http://schemas.openxmlformats.org/officeDocument/2006/relationships/hyperlink" Target="https://plus.lexis.com/api/document?collection=statutes-legislation&amp;id=urn:contentItem:683T-FGK3-GXF6-81FY-00000-00&amp;context=1530671" TargetMode="External" /><Relationship Id="rId19" Type="http://schemas.openxmlformats.org/officeDocument/2006/relationships/hyperlink" Target="https://plus.lexis.com/api/document?collection=statutes-legislation&amp;id=urn:contentItem:683T-FGK3-GXF6-81FY-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683T-FGK3-GXF6-81FY-00000-00&amp;context=1530671" TargetMode="External" /><Relationship Id="rId21" Type="http://schemas.openxmlformats.org/officeDocument/2006/relationships/hyperlink" Target="https://plus.lexis.com/api/document?collection=statutes-legislation&amp;id=urn:contentItem:683T-FGK3-GXF6-81FY-00000-00&amp;context=1530671" TargetMode="External" /><Relationship Id="rId22" Type="http://schemas.openxmlformats.org/officeDocument/2006/relationships/hyperlink" Target="https://plus.lexis.com/api/document?collection=cases&amp;id=urn:contentItem:610J-WPG1-DY33-B3HP-00000-00&amp;context=1530671" TargetMode="External" /><Relationship Id="rId23" Type="http://schemas.openxmlformats.org/officeDocument/2006/relationships/hyperlink" Target="https://plus.lexis.com/api/document?collection=cases&amp;id=urn:contentItem:610J-WPG1-DY33-B3HP-00000-00&amp;context=1530671" TargetMode="External" /><Relationship Id="rId24" Type="http://schemas.openxmlformats.org/officeDocument/2006/relationships/hyperlink" Target="https://plus.lexis.com/api/document?collection=statutes-legislation&amp;id=urn:contentItem:683T-FGK3-GXF6-81FY-00000-00&amp;context=1530671" TargetMode="External" /><Relationship Id="rId25" Type="http://schemas.openxmlformats.org/officeDocument/2006/relationships/hyperlink" Target="https://plus.lexis.com/api/document?collection=statutes-legislation&amp;id=urn:contentItem:6348-FRM1-DYB7-W1JJ-00000-00&amp;context=1530671" TargetMode="External" /><Relationship Id="rId26" Type="http://schemas.openxmlformats.org/officeDocument/2006/relationships/hyperlink" Target="https://plus.lexis.com/api/document?collection=statutes-legislation&amp;id=urn:contentItem:683T-FGK3-GXF6-81FY-00000-00&amp;context=1530671" TargetMode="External" /><Relationship Id="rId27" Type="http://schemas.openxmlformats.org/officeDocument/2006/relationships/hyperlink" Target="https://plus.lexis.com/api/document?collection=statutes-legislation&amp;id=urn:contentItem:683T-FGK3-GXF6-81FY-00000-00&amp;context=1530671" TargetMode="External" /><Relationship Id="rId28" Type="http://schemas.openxmlformats.org/officeDocument/2006/relationships/hyperlink" Target="https://plus.lexis.com/api/document?collection=statutes-legislation&amp;id=urn:contentItem:683T-FGK3-GXF6-81FY-00000-00&amp;context=1530671" TargetMode="External" /><Relationship Id="rId29" Type="http://schemas.openxmlformats.org/officeDocument/2006/relationships/hyperlink" Target="https://plus.lexis.com/api/document?collection=statutes-legislation&amp;id=urn:contentItem:683T-FGK3-GXF6-81FY-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5J1V-NJK1-DY1P-S0D1-00000-00&amp;context=1530671" TargetMode="External" /><Relationship Id="rId31" Type="http://schemas.openxmlformats.org/officeDocument/2006/relationships/hyperlink" Target="https://plus.lexis.com/api/document?collection=cases&amp;id=urn:contentItem:5J1V-NJK1-DY1P-S0D1-00000-00&amp;context=1530671" TargetMode="External" /><Relationship Id="rId32" Type="http://schemas.openxmlformats.org/officeDocument/2006/relationships/hyperlink" Target="https://plus.lexis.com/api/document?collection=cases&amp;id=urn:contentItem:5VM5-M671-JJYN-B3NX-00000-00&amp;context=1530671" TargetMode="External" /><Relationship Id="rId33" Type="http://schemas.openxmlformats.org/officeDocument/2006/relationships/hyperlink" Target="https://plus.lexis.com/api/document?collection=cases&amp;id=urn:contentItem:5VM5-M671-JJYN-B3NX-00000-00&amp;context=1530671" TargetMode="External" /><Relationship Id="rId34" Type="http://schemas.openxmlformats.org/officeDocument/2006/relationships/hyperlink" Target="https://plus.lexis.com/api/document?collection=cases&amp;id=urn:contentItem:3RRM-2N10-003F-J234-00000-00&amp;context=1530671" TargetMode="External" /><Relationship Id="rId35" Type="http://schemas.openxmlformats.org/officeDocument/2006/relationships/hyperlink" Target="https://plus.lexis.com/api/document?collection=cases&amp;id=urn:contentItem:3RRM-2N10-003F-J234-00000-00&amp;context=1530671" TargetMode="External" /><Relationship Id="rId36" Type="http://schemas.openxmlformats.org/officeDocument/2006/relationships/hyperlink" Target="https://plus.lexis.com/api/document?collection=statutes-legislation&amp;id=urn:contentItem:683T-FGK3-GXF6-81FY-00000-00&amp;context=1530671" TargetMode="External" /><Relationship Id="rId37" Type="http://schemas.openxmlformats.org/officeDocument/2006/relationships/hyperlink" Target="https://plus.lexis.com/api/document?collection=cases&amp;id=urn:contentItem:5J1V-NJK1-DY1P-S0D1-00000-00&amp;context=1530671" TargetMode="External" /><Relationship Id="rId38" Type="http://schemas.openxmlformats.org/officeDocument/2006/relationships/hyperlink" Target="https://plus.lexis.com/api/document?collection=cases&amp;id=urn:contentItem:5J1V-NJK1-DY1P-S0D1-00000-00&amp;context=1530671" TargetMode="External" /><Relationship Id="rId39" Type="http://schemas.openxmlformats.org/officeDocument/2006/relationships/hyperlink" Target="https://plus.lexis.com/api/document?collection=statutes-legislation&amp;id=urn:contentItem:683T-FGK3-GXF6-81FY-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619H-T6C1-FK0M-S3WM-00000-00&amp;context=1530671" TargetMode="External" /><Relationship Id="rId41" Type="http://schemas.openxmlformats.org/officeDocument/2006/relationships/hyperlink" Target="https://plus.lexis.com/api/document?collection=cases&amp;id=urn:contentItem:619H-T6C1-FK0M-S3WM-00000-00&amp;context=1530671" TargetMode="External" /><Relationship Id="rId42" Type="http://schemas.openxmlformats.org/officeDocument/2006/relationships/hyperlink" Target="https://plus.lexis.com/api/document?collection=cases&amp;id=urn:contentItem:3XHH-KJ80-0039-44DX-00000-00&amp;context=1530671" TargetMode="External" /><Relationship Id="rId43" Type="http://schemas.openxmlformats.org/officeDocument/2006/relationships/hyperlink" Target="https://plus.lexis.com/api/document?collection=cases&amp;id=urn:contentItem:3XHH-KJ80-0039-44DX-00000-00&amp;context=1530671" TargetMode="External" /><Relationship Id="rId44" Type="http://schemas.openxmlformats.org/officeDocument/2006/relationships/hyperlink" Target="https://plus.lexis.com/api/document?collection=statutes-legislation&amp;id=urn:contentItem:683T-FGK3-GXF6-81FY-00000-00&amp;context=1530671" TargetMode="External" /><Relationship Id="rId45" Type="http://schemas.openxmlformats.org/officeDocument/2006/relationships/hyperlink" Target="https://plus.lexis.com/api/document?collection=cases&amp;id=urn:contentItem:3RWW-SJ50-003G-P0CM-00000-00&amp;context=1530671" TargetMode="External" /><Relationship Id="rId46" Type="http://schemas.openxmlformats.org/officeDocument/2006/relationships/hyperlink" Target="https://plus.lexis.com/api/document?collection=cases&amp;id=urn:contentItem:3RWW-SJ50-003G-P0CM-00000-00&amp;context=1530671" TargetMode="External" /><Relationship Id="rId47" Type="http://schemas.openxmlformats.org/officeDocument/2006/relationships/hyperlink" Target="https://plus.lexis.com/api/document?collection=statutes-legislation&amp;id=urn:contentItem:683T-FGK3-GXF6-81FY-00000-00&amp;context=1530671" TargetMode="External" /><Relationship Id="rId48" Type="http://schemas.openxmlformats.org/officeDocument/2006/relationships/hyperlink" Target="https://plus.lexis.com/api/document?collection=cases&amp;id=urn:contentItem:5J1V-NJK1-DY1P-S0D1-00000-00&amp;context=1530671" TargetMode="External" /><Relationship Id="rId49" Type="http://schemas.openxmlformats.org/officeDocument/2006/relationships/hyperlink" Target="https://plus.lexis.com/api/document?collection=cases&amp;id=urn:contentItem:5J1V-NJK1-DY1P-S0D1-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statutes-legislation&amp;id=urn:contentItem:683T-FGK3-GXF6-81FY-00000-00&amp;context=1530671" TargetMode="External" /><Relationship Id="rId51" Type="http://schemas.openxmlformats.org/officeDocument/2006/relationships/hyperlink" Target="https://plus.lexis.com/api/document?collection=statutes-legislation&amp;id=urn:contentItem:683T-FGK3-GXF6-81FY-00000-00&amp;context=1530671" TargetMode="External" /><Relationship Id="rId52" Type="http://schemas.openxmlformats.org/officeDocument/2006/relationships/hyperlink" Target="https://plus.lexis.com/api/document?collection=statutes-legislation&amp;id=urn:contentItem:683T-FGK3-GXF6-81FY-00000-00&amp;context=1530671" TargetMode="External" /><Relationship Id="rId53" Type="http://schemas.openxmlformats.org/officeDocument/2006/relationships/hyperlink" Target="https://plus.lexis.com/api/document?collection=cases&amp;id=urn:contentItem:5J1V-NJK1-DY1P-S0D1-00000-00&amp;context=1530671" TargetMode="External" /><Relationship Id="rId54" Type="http://schemas.openxmlformats.org/officeDocument/2006/relationships/hyperlink" Target="https://plus.lexis.com/api/document?collection=cases&amp;id=urn:contentItem:5J1V-NJK1-DY1P-S0D1-00000-00&amp;context=1530671" TargetMode="External" /><Relationship Id="rId55" Type="http://schemas.openxmlformats.org/officeDocument/2006/relationships/hyperlink" Target="https://plus.lexis.com/api/document?collection=statutes-legislation&amp;id=urn:contentItem:683T-FGK3-GXF6-81FY-00000-00&amp;context=1530671" TargetMode="External" /><Relationship Id="rId56" Type="http://schemas.openxmlformats.org/officeDocument/2006/relationships/hyperlink" Target="https://plus.lexis.com/api/document?collection=statutes-legislation&amp;id=urn:contentItem:683T-FGK3-GXF6-81FY-00000-00&amp;context=1530671" TargetMode="External" /><Relationship Id="rId57" Type="http://schemas.openxmlformats.org/officeDocument/2006/relationships/hyperlink" Target="https://plus.lexis.com/api/document?collection=statutes-legislation&amp;id=urn:contentItem:8T9R-T3H2-D6RV-H37G-00000-00&amp;context=1530671" TargetMode="External" /><Relationship Id="rId58" Type="http://schemas.openxmlformats.org/officeDocument/2006/relationships/hyperlink" Target="https://plus.lexis.com/api/document?collection=statutes-legislation&amp;id=urn:contentItem:8T9R-T5M2-D6RV-H38C-00000-00&amp;context=1530671" TargetMode="External" /><Relationship Id="rId59" Type="http://schemas.openxmlformats.org/officeDocument/2006/relationships/hyperlink" Target="https://plus.lexis.com/api/document?collection=statutes-legislation&amp;id=urn:contentItem:8T9R-T3H2-D6RV-H37G-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4P25-H840-TXFS-D3CN-00000-00&amp;context=1530671" TargetMode="External" /><Relationship Id="rId61" Type="http://schemas.openxmlformats.org/officeDocument/2006/relationships/hyperlink" Target="https://plus.lexis.com/api/document?collection=cases&amp;id=urn:contentItem:4P25-H840-TXFS-D3CN-00000-00&amp;context=1530671" TargetMode="External" /><Relationship Id="rId62" Type="http://schemas.openxmlformats.org/officeDocument/2006/relationships/hyperlink" Target="https://plus.lexis.com/api/document?collection=cases&amp;id=urn:contentItem:4P25-H840-TXFS-D3CN-00000-00&amp;context=1530671" TargetMode="External" /><Relationship Id="rId63" Type="http://schemas.openxmlformats.org/officeDocument/2006/relationships/hyperlink" Target="https://plus.lexis.com/api/document?collection=cases&amp;id=urn:contentItem:5YPR-SFY1-FGCG-S2TY-00000-00&amp;context=1530671" TargetMode="External" /><Relationship Id="rId64" Type="http://schemas.openxmlformats.org/officeDocument/2006/relationships/hyperlink" Target="https://plus.lexis.com/api/document?collection=cases&amp;id=urn:contentItem:5YPR-SFY1-FGCG-S2TY-00000-00&amp;context=1530671" TargetMode="External" /><Relationship Id="rId65" Type="http://schemas.openxmlformats.org/officeDocument/2006/relationships/hyperlink" Target="https://plus.lexis.com/api/document?collection=statutes-legislation&amp;id=urn:contentItem:8T9R-T3H2-D6RV-H37G-00000-00&amp;context=1530671" TargetMode="External" /><Relationship Id="rId66" Type="http://schemas.openxmlformats.org/officeDocument/2006/relationships/hyperlink" Target="https://plus.lexis.com/api/document?collection=cases&amp;id=urn:contentItem:4P25-H840-TXFS-D3CN-00000-00&amp;context=1530671" TargetMode="External" /><Relationship Id="rId67" Type="http://schemas.openxmlformats.org/officeDocument/2006/relationships/hyperlink" Target="https://plus.lexis.com/api/document?collection=cases&amp;id=urn:contentItem:5XYV-WP81-JS0R-2141-00000-00&amp;context=1530671" TargetMode="External" /><Relationship Id="rId68" Type="http://schemas.openxmlformats.org/officeDocument/2006/relationships/hyperlink" Target="https://plus.lexis.com/api/document?collection=cases&amp;id=urn:contentItem:5XYV-WP81-JS0R-2141-00000-00&amp;context=1530671" TargetMode="External" /><Relationship Id="rId69" Type="http://schemas.openxmlformats.org/officeDocument/2006/relationships/hyperlink" Target="https://plus.lexis.com/api/document?collection=cases&amp;id=urn:contentItem:5PBS-04F1-DY1P-S03B-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5PBS-04F1-DY1P-S03B-00000-00&amp;context=1530671" TargetMode="External" /><Relationship Id="rId71" Type="http://schemas.openxmlformats.org/officeDocument/2006/relationships/hyperlink" Target="https://plus.lexis.com/api/document?collection=cases&amp;id=urn:contentItem:3X7M-NNS0-0039-413Y-00000-00&amp;context=1530671" TargetMode="External" /><Relationship Id="rId72" Type="http://schemas.openxmlformats.org/officeDocument/2006/relationships/hyperlink" Target="https://plus.lexis.com/api/document?collection=cases&amp;id=urn:contentItem:3X7M-NNS0-0039-413Y-00000-00&amp;context=1530671" TargetMode="External" /><Relationship Id="rId73" Type="http://schemas.openxmlformats.org/officeDocument/2006/relationships/hyperlink" Target="https://plus.lexis.com/api/document?collection=statutes-legislation&amp;id=urn:contentItem:8T9R-T3H2-D6RV-H37G-00000-00&amp;context=1530671" TargetMode="External" /><Relationship Id="rId74" Type="http://schemas.openxmlformats.org/officeDocument/2006/relationships/hyperlink" Target="https://plus.lexis.com/api/document?collection=cases&amp;id=urn:contentItem:3RVB-1PY0-003B-S02M-00000-00&amp;context=1530671" TargetMode="External" /><Relationship Id="rId75" Type="http://schemas.openxmlformats.org/officeDocument/2006/relationships/hyperlink" Target="https://plus.lexis.com/api/document?collection=cases&amp;id=urn:contentItem:3RVB-1PY0-003B-S02M-00000-00&amp;context=1530671" TargetMode="External" /><Relationship Id="rId76" Type="http://schemas.openxmlformats.org/officeDocument/2006/relationships/hyperlink" Target="https://plus.lexis.com/api/document?collection=cases&amp;id=urn:contentItem:3S4X-8180-003B-S13T-00000-00&amp;context=1530671" TargetMode="External" /><Relationship Id="rId77" Type="http://schemas.openxmlformats.org/officeDocument/2006/relationships/hyperlink" Target="https://plus.lexis.com/api/document?collection=cases&amp;id=urn:contentItem:3S4X-8180-003B-S13T-00000-00&amp;context=1530671" TargetMode="External" /><Relationship Id="rId78" Type="http://schemas.openxmlformats.org/officeDocument/2006/relationships/hyperlink" Target="https://plus.lexis.com/api/document?collection=cases&amp;id=urn:contentItem:4P25-H840-TXFS-D3CN-00000-00&amp;context=1530671" TargetMode="External" /><Relationship Id="rId79" Type="http://schemas.openxmlformats.org/officeDocument/2006/relationships/hyperlink" Target="https://plus.lexis.com/api/document?collection=cases&amp;id=urn:contentItem:4P25-H840-TXFS-D3CN-00000-00&amp;context=1530671" TargetMode="External" /><Relationship Id="rId8" Type="http://schemas.openxmlformats.org/officeDocument/2006/relationships/hyperlink" Target="https://plus.lexis.com/api/document?collection=cases&amp;id=urn:contentItem:6FHV-THJ3-RSX6-M00H-00000-00&amp;context=1530671" TargetMode="External" /><Relationship Id="rId80" Type="http://schemas.openxmlformats.org/officeDocument/2006/relationships/hyperlink" Target="https://plus.lexis.com/api/document?collection=statutes-legislation&amp;id=urn:contentItem:8T9R-T5M2-D6RV-H38C-00000-00&amp;context=1530671" TargetMode="External" /><Relationship Id="rId81" Type="http://schemas.openxmlformats.org/officeDocument/2006/relationships/hyperlink" Target="https://plus.lexis.com/api/document?collection=statutes-legislation&amp;id=urn:contentItem:8T9R-T5M2-D6RV-H38C-00000-00&amp;context=1530671" TargetMode="External" /><Relationship Id="rId82" Type="http://schemas.openxmlformats.org/officeDocument/2006/relationships/hyperlink" Target="https://plus.lexis.com/api/document?collection=cases&amp;id=urn:contentItem:69J3-BK01-JNCK-2183-00000-00&amp;context=1530671" TargetMode="External" /><Relationship Id="rId83" Type="http://schemas.openxmlformats.org/officeDocument/2006/relationships/hyperlink" Target="https://plus.lexis.com/api/document?collection=cases&amp;id=urn:contentItem:69J3-BK01-JNCK-2183-00000-00&amp;context=1530671" TargetMode="External" /><Relationship Id="rId84" Type="http://schemas.openxmlformats.org/officeDocument/2006/relationships/hyperlink" Target="https://plus.lexis.com/api/document?collection=statutes-legislation&amp;id=urn:contentItem:8T9R-T5M2-D6RV-H38C-00000-00&amp;context=1530671" TargetMode="External" /><Relationship Id="rId85" Type="http://schemas.openxmlformats.org/officeDocument/2006/relationships/hyperlink" Target="https://plus.lexis.com/api/document?collection=cases&amp;id=urn:contentItem:69J3-BK01-JNCK-2183-00000-00&amp;context=1530671" TargetMode="External" /><Relationship Id="rId86" Type="http://schemas.openxmlformats.org/officeDocument/2006/relationships/hyperlink" Target="https://plus.lexis.com/api/document?collection=cases&amp;id=urn:contentItem:6BCH-6T23-RTF1-N4P3-00000-00&amp;context=1530671" TargetMode="External" /><Relationship Id="rId87" Type="http://schemas.openxmlformats.org/officeDocument/2006/relationships/hyperlink" Target="https://plus.lexis.com/api/document?collection=cases&amp;id=urn:contentItem:6BCH-6T23-RTF1-N4P3-00000-00&amp;context=1530671" TargetMode="External" /><Relationship Id="rId88" Type="http://schemas.openxmlformats.org/officeDocument/2006/relationships/hyperlink" Target="https://plus.lexis.com/api/document?collection=statutes-legislation&amp;id=urn:contentItem:8T9R-T5M2-D6RV-H38C-00000-00&amp;context=1530671" TargetMode="External" /><Relationship Id="rId89" Type="http://schemas.openxmlformats.org/officeDocument/2006/relationships/theme" Target="theme/theme1.xml" /><Relationship Id="rId9" Type="http://schemas.openxmlformats.org/officeDocument/2006/relationships/hyperlink" Target="https://plus.lexis.com/api/document?collection=cases&amp;id=urn:contentItem:6FHV-THJ3-RSX6-M00H-00000-00&amp;context=1530671" TargetMode="External" /><Relationship Id="rId90"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83T-FGK3-GXF6-81FY-00000-00&amp;context=1530671" TargetMode="External" /><Relationship Id="rId2" Type="http://schemas.openxmlformats.org/officeDocument/2006/relationships/hyperlink" Target="https://plus.lexis.com/api/document?collection=statutes-legislation&amp;id=urn:contentItem:683T-FGK3-GXF6-81FY-00000-00&amp;context=1530671" TargetMode="External" /><Relationship Id="rId3" Type="http://schemas.openxmlformats.org/officeDocument/2006/relationships/hyperlink" Target="https://plus.lexis.com/api/document?collection=statutes-legislation&amp;id=urn:contentItem:8T9R-T3H2-D6RV-H37G-00000-00&amp;context=1530671" TargetMode="External" /><Relationship Id="rId4" Type="http://schemas.openxmlformats.org/officeDocument/2006/relationships/hyperlink" Target="https://plus.lexis.com/api/document?collection=cases&amp;id=urn:contentItem:69J3-BK01-JNCK-2183-00000-00&amp;context=1530671" TargetMode="External" /><Relationship Id="rId5" Type="http://schemas.openxmlformats.org/officeDocument/2006/relationships/hyperlink" Target="https://plus.lexis.com/api/document?collection=cases&amp;id=urn:contentItem:69J3-BK01-JNCK-2183-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Brantley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FHV-THJ3-RSX6-M00H-00000-00">
    <vt:lpwstr>Doc::/shared/document|contextualFeaturePermID::1530671</vt:lpwstr>
  </property>
  <property fmtid="{D5CDD505-2E9C-101B-9397-08002B2CF9AE}" pid="4" name="LNDeliveryID">
    <vt:lpwstr>280272027</vt:lpwstr>
  </property>
  <property fmtid="{D5CDD505-2E9C-101B-9397-08002B2CF9AE}" pid="5" name="UserPermID">
    <vt:lpwstr>urn:user:PA197239389</vt:lpwstr>
  </property>
</Properties>
</file>