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Pittman v. State</w:t>
      </w:r>
    </w:p>
    <w:p>
      <w:r>
        <w:t xml:space="preserve">Supreme Court of Georgia</w:t>
      </w:r>
    </w:p>
    <w:p>
      <w:r>
        <w:t xml:space="preserve">April 30, 2024, Decided</w:t>
      </w:r>
    </w:p>
    <w:p>
      <w:r>
        <w:t xml:space="preserve">S24A0013.</w:t>
      </w:r>
    </w:p>
    <w:p>
      <w:r>
        <w:t xml:space="preserve">Reporter</w:t>
      </w:r>
    </w:p>
    <w:p>
      <w:r>
        <w:t xml:space="preserve">318 Ga. 819 *; 901 S.E.2d 90 **; 2024 Ga. LEXIS 103 ***; 2024 LX 32332</w:t>
      </w:r>
    </w:p>
    <w:p>
      <w:r>
        <w:t xml:space="preserve">PITTMAN v. THE STATE.</w:t>
      </w:r>
    </w:p>
    <w:p>
      <w:r>
        <w:t xml:space="preserve">Prior History: Murder. Haralson Superior Court. Before Judge Murphy.</w:t>
      </w:r>
    </w:p>
    <w:p>
      <w:r>
        <w:t xml:space="preserve">Disposition: Judgment affirmed.</w:t>
      </w:r>
    </w:p>
    <w:p>
      <w:r>
        <w:t xml:space="preserve">Counsel: David D. Marshall, for appellant.</w:t>
      </w:r>
    </w:p>
    <w:p>
      <w:r>
        <w:t xml:space="preserve">Jack Browning, Jr., District Attorney; Christopher M. Carr, Attorney General, Beth A. Burton, Deputy Attorney General, Clint C. Malcolm, Meghan H. Hill, Senior Assistant Attorneys General, Matthew B. Crowder, Assistant Attorney General, for appellee.</w:t>
      </w:r>
    </w:p>
    <w:p>
      <w:r>
        <w:t xml:space="preserve">Judges:  [***1] BOGGS, Chief Justice. All the Justices concur. BOGGS, CHIEF JUSTICE, concurring. PETERSON, Presiding Justice, concurring.</w:t>
      </w:r>
    </w:p>
    <w:p>
      <w:r>
        <w:t xml:space="preserve">Opinion by: BOGGS</w:t>
      </w:r>
    </w:p>
    <w:p>
      <w:r>
        <w:t xml:space="preserve">Opinion</w:t>
      </w:r>
    </w:p>
    <w:p>
      <w:r>
        <w:t xml:space="preserve">[*819]  [**91]   Boggs, Chief Justice.</w:t>
      </w:r>
    </w:p>
    <w:p>
      <w:r>
        <w:t xml:space="preserve">Appellant Randy Leon Pittman, Jr., challenges his convictions for malice murder and arson in connection with the shooting and burning death of Natoshia Smith. Appellant  [**92]  contends that the evidence was legally insufficient to support his convictions because the evidence failed to sufficiently identify Smith's skeletal remains; that the trial court erred in denying his motion to disqualify the District Attorney; that the trial court abused its discretion in prohibiting him from asking witnesses about other fires that occurred while he was incarcerated; and that the trial court erred in denying a motion for mistrial. We conclude that the forensic evidence and eyewitness testimony [*820]  was sufficient to identify Smith as the victim and that there was no error in refusing to disqualify the District Attorney based on the District Attorney's prior representation of Appellant, where it was undisputed that the prior representation ended several years before, and was completely unrelated to, the murder prosecution. We also conclude that the trial court did [***2]  not abuse its discretion in excluding evidence of other fires because the evidence was not relevant. Finally, we conclude that Appellant did not preserve for appeal his claim related to the denial of his motion for mistrial. Accordingly, we affirm.[336]1</w:t>
      </w:r>
    </w:p>
    <w:p>
      <w:r>
        <w:t xml:space="preserve">1. Viewed in the light most favorable to the verdicts, the evidence presented at trial showed the following. Appellant and Smith were dating prior to her death. On the afternoon of July 23, 2015, Appellant was at the home of his co-indictee Marie Southers when he learned from other friends that Smith had stolen items from the friends' home. Appellant told Southers that he could not take Smith anywhere without her “stealing, lying, or just intentionally making him look bad.” At Appellant's request, Southers telephoned Smith to ask her to come over, and then Appellant picked Smith up and brought her to Southers's home at about 3:30 p.m. When Smith arrived, she appeared to be high on methamphetamine, and Southers asked Smith to go into a bedroom. As Smith did so, she dropped a syringe full of methamphetamine on the floor, which angered Southers because Southers's children were present. Southers told her children to go next door to their grandparents' [***3]  home and then followed Smith into the bedroom, and Appellant walked outside to take a phone call. Smith told Southers that Appellant had “forced himself on her” and forced her to do drugs. When Appellant returned to the bedroom, Southers told him about Smith's accusations. Smith accused Southers of lying, and the two women got into a fist fight, with Southers [*821]  punching Smith three times in the face and then telling Smith to leave. As Appellant and Smith left in Appellant's car, Appellant told Smith to lie down in the back seat so no one would see her with him.</w:t>
      </w:r>
    </w:p>
    <w:p>
      <w:r>
        <w:t xml:space="preserve">Sometime after midnight, Appellant called Southers and said he was at his father's house and needed gas. Southers and her husband took a one-gallon can of gas to Appellant's father's house, saw Appellant and Smith in Appellant's car, left the gas can by the car, and then returned home. Several hours later, Appellant called Southers and said there was an issue that they needed to discuss, but he did not say what it was. Appellant asked her to come to a location on Coppermine Road and provided directions. Southers arrived at that location about 5:00 or 6:00 a.m. and saw Appellant's car parked in front of an unoccupied and dilapidated [***4]  house. Appellant was standing by the open front passenger door; he was holding a gun and trying to force Smith out of the car. The  [**93]  gun was a “little 22” with a pearl-colored handle that Southers had seen Appellant carry before. Appellant appeared angry and told Smith that he did not know why she had to make him look bad all the time, that he had done nothing but try to be good to her, and that he could not take her anywhere. While pointing the gun at Smith, Appellant forced her to remove her belongings from the car and to walk into the house. Southers followed and remained in the doorway of the house. Appellant was carrying a gas can that appeared to be the one Southers and her husband had taken to Appellant. Smith pleaded, “Please don‘t do this. You don't have to do this,” and Appellant responded that he had made her a promise, she knew what the promise was, and she knew that he was a man of his word. Appellant put the gun in his boot, grabbed Smith's arm when she tried to walk out of the house, taped her arms behind her, put her on the floor, taped her legs, dragged her across the floor, and yanked her to her knees. Smith again pleaded, “Please don't do this.” Appellant then walked [***5]  behind Smith, and Southers heard the gun cock, saw Appellant point the gun at the back of Smith's head, and heard the gun fire. Smith fell face first onto the floor. Appellant told Southers to leave, and Southers drove home. About three hours later, Appellant called Southers, said “she's dead,” and then hung up.</w:t>
      </w:r>
    </w:p>
    <w:p>
      <w:r>
        <w:t xml:space="preserve">A few days later, Appellant came to Southers's home and told Southers that he had put Smith's belongings on top of her and set Smith and her possessions on fire; that Smith was alive when he set her on fire; and that he threw the gun into Morgan Lake. He also told Southers, “The more you kill the easier it gets.” In a later conversation, Appellant told Southers that he returned to the abandoned house two times; that a pill bottle that he had placed in the fire had not burned; that the bottle contained a prescription label for [*822]  Smith's former boyfriend, Matthew Hurston, and could point police toward Hurston instead of him as a suspect; and that he put Smith's phone in Hurston's house. Appellant also said that he was worried the police would find his DNA in Smith's body.</w:t>
      </w:r>
    </w:p>
    <w:p>
      <w:r>
        <w:t xml:space="preserve">The crime scene was not discovered until August 29, 2015, when a man who had been looking for scrap wood found [***6]  a skull and other bones in front of the home; he called 911. During the ensuing investigation, law enforcement officers collected multiple human bones spread on the ground outside of the house, including a jawbone with a metal plate in it and a skull with what appeared to be a bullet hole in it. Several of the bones had charring on them. The officers also discovered evidence of a fire that had burned through the floor in one room of the house. Officers collected a partially burned medicine bottle for a prescription for Matthew Hurston from that room. An investigator with the Haralson County fire department concluded that the fire was intentionally set using a flammable liquid that had been poured between the entryway of the room and the interior of the room. During his investigation, he searched the ground under the hole in the floor and recovered human bones and hair, a necklace, and a piece of wire that appeared to come from an underwire bra. A forensic chemist testified that testing completed on wood and carpet samples taken from the scene of the fire indicated the presence of gasoline.</w:t>
      </w:r>
    </w:p>
    <w:p>
      <w:r>
        <w:t xml:space="preserve">Smith's remains were initially identified by a dentist who treated Smith in 2012 after her jaw [***7]  had been surgically repaired after Hurston had hit her and broke her jaw. At trial, the dentist testified that the jawbone with the metal plate found on August 29 was Smith's. The medical examiner testified that she compared ante-mortem dental x-rays of Smith with post-mortem x-rays of the jawbone found at the scene and concluded that the jawbone found at the scene was Smith's. The medical examiner also testified that the skull had a hole in it that was consistent with a gunshot wound, and she recovered a bullet from the right side of the skull. The medical examiner determined that the cause of death was a gunshot to the skull “with burning.” A firearms expert testified that the bullet recovered from the skull was a .22-caliber. The gun that fired the bullet was never found.</w:t>
      </w:r>
    </w:p>
    <w:p>
      <w:r>
        <w:t xml:space="preserve">In addition to Southers's testimony, the State presented several witnesses who testified to inculpatory statements made by Appellant  [**94]  before the details of the crime scene were made public. One of those witnesses was Adrian Williamson, who was incarcerated with Appellant in the Carroll County jail before Appellant was arrested for Smith's murder and who testified about statements Appellant made to him in December [***8]  2015 or January 2016. According to [*823]  Williamson, Appellant related a story about a murder in which an unnamed man shot a woman in the back of the head with a pearl-handled .22-caliber gun and burned her. Appellant said that the woman had an ex-boyfriend who had broken her jaw previously, but the ex-boyfriend had been in jail at the time of the murder, and police cleared him. In connection with telling this story, Appellant asked Williamson how long DNA would stay in a body if the body had been scattered by animals. He also said that “a guy” had thrown a pearl-handled .22-caliber gun into a lake and that if the gun was ever found, “I‘m f**ked.”</w:t>
      </w:r>
    </w:p>
    <w:p>
      <w:r>
        <w:t xml:space="preserve">Investigator Bernie Reece III of the Haralson County sheriff's office interviewed Appellant at the Carroll County jail. He testified that Appellant said that he and Smith had dated until the end of June 2015 and that the last time Appellant saw her was July 4 when she and a friend dropped him off at his father's house. Appellant also said that Hurston had told him that the police had cleared Hurston as a possible suspect.</w:t>
      </w:r>
    </w:p>
    <w:p>
      <w:r>
        <w:t xml:space="preserve">2. Appellant contends that the evidence was insufficient to support his convictions because the skeletal remains found on August [***9]  29, 2015, were not sufficiently identified as Smith's remains.[337]2 His argument implicates an essential element the State must prove in a murder prosecution — “that the person alleged to have been killed is actually dead.” Gude v. State, 313 Ga. 859, 865 (874 SE2d 84) (2022) (cleaned up); Reddick v. State, 202 Ga. 209, 209 (42 SE2d 742) (1947) (discussing element of “corpus delicti”). See also OCGA § 16-5-1 (a) (“A person commits the offense of murder when he unlawfully and with malice aforethought, either express or implied, causes the death of another human being.”). Here,(1)  the State presented forensic identification testimony by two experts, as well as Southers's testimony about Appellant's actions on July 24 and July 25. This evidence, viewed in the light most favorable to the verdicts, was clearly sufficient to authorize a rational jury to conclude that the skeletal remains found at the vacant house on Coppermine Road on August 29, 2015, were Smith's. See Jackson v. Virginia, 443 U.S. 307, 319 (99 SCt 2781, 61 LE2d 560) (1979). See also Lowe v. State, 288 Ga. 662, 662-663 [*824]  (706 SE2d 449) (2011) (evidence constitutionally sufficient to find appellant guilty of malice murder in the death of her housemate where identity of housemate, whose badly decomposed body was discovered in the woods by hunters, was established by dental records and where appellant told a friend that she had fought with housemate, hit her with truck, and watched [***10]  her body fly into the brush on the side of the road).</w:t>
      </w:r>
    </w:p>
    <w:p>
      <w:r>
        <w:t xml:space="preserve">3. Appellant contends that the trial court abused its discretion in denying his motion to disqualify the Haralson County District Attorney because the District Attorney previously represented Appellant in several cases when the District Attorney had been a public defender. Appellant acknowledges that at a pretrial hearing the District Attorney testified without contradiction that the prior representations ended before 2013 and were completely unrelated to the murder prosecution,[338]3 but Appellant nevertheless argues that he need not show that an actual  [**95]  conflict of interest existed under these circumstances. We disagree.</w:t>
      </w:r>
    </w:p>
    <w:p>
      <w:r>
        <w:t xml:space="preserve">Appellant has cited no authority, and we have found none, supporting the argument that a prosecutor's prior representation of a criminal defendant in a completely unrelated matter requires his disqualification. Instead, in such cases, our precedent requires more than the fact of a prior representation to mandate the disqualification of a prosecutor. See Lyons v. State, 271 Ga. 639, 640 (522 SE2d 225) (1999) (conflict sufficient to require disqualification of district attorney's office after defendant's former lawyers were hired by district attorney must be more than “theoretical [***11]  or speculative” (cleaned up)). Such a conflict exists when “the prosecutor previously has represented the defendant with respect to the offense charged, or has consulted with the defendant in a professional capacity with regard thereto.” Reed v. State, 314 Ga. 534, 545 (878 SE2d 217) (2022) (cleaned up). See also Rules 1.9 (“Conflict of Interest: Former Client”) and 1.11 (“Successive Government and Private Employment”) of the Georgia Rules of Professional Conduct found in Bar Rule 4-102 (d).[339]4 Although Appellant relies on Lemming v. State, 292 Ga. App. 138 (663 SE2d 375) (2008), nothing in Lemming suggests that [*825]  disqualification is mandated where a prosecutor's prior representation of a defendant is completely unrelated to the charges at issue. Rather, in Lemming, the Court of Appeals rejected the argument that members of the district attorney's office should have been disqualified from prosecuting the case after the district attorney, who had previously represented the defendant in unrelated matters, recused herself voluntarily. See id. at 139-142.</w:t>
      </w:r>
    </w:p>
    <w:p>
      <w:r>
        <w:t xml:space="preserve">Here, the trial court found that (2) the District Attorney's prior representations of Appellant were “indisputably unrelated” to the murder prosecution and that Appellant failed to show that any information the District Attorney may have obtained during his prior representation “could be used in any manner to the disadvantage of [Appellant] in the instant case.” Our review of the record shows that the trial court's findings are amply supported by the evidence presented at the pretrial hearing, and accordingly, we conclude that the trial court did not abuse its discretion [***13]  in denying the motion to disqualify. See Neuman v. State, 311 Ga. 83, 88 (856 SE2d 289) (2021) (an appellate court reviews a ruling on a motion to disqualify a prosecutor for an abuse of discretion, accepting the trial court's factual findings if there is any evidence to support them).</w:t>
      </w:r>
    </w:p>
    <w:p>
      <w:r>
        <w:t xml:space="preserve">4. Appellant next contends that the trial court abused its discretion in prohibiting him from questioning witnesses about other fires that occurred in 2017, arguing that such evidence would suggest that another person killed Smith. This issue arose when Appellant was cross-examining the fire investigator, and Appellant started to ask about two fires that had occurred at the homes of Southers and a defense witness after Appellant had been arrested for Smith's murder and remained incarcerated. Following the State's objection and outside the presence of the jury, the fire investigator testified that the fires were still under investigation and that no cause had been ruled out. Following this proffer, the trial court sustained the State's objection that the evidence was not relevant and ruled that Appellant could not question the fire investigator or other witnesses about these fires.</w:t>
      </w:r>
    </w:p>
    <w:p>
      <w:r>
        <w:t xml:space="preserve">[*826]  [**96]   Appellant argues that the evidence was relevant because both homes had a connection [***14]  to Smith, with Smith having been present in Southers's home the day before Smith died and Smith's cell phone being found in the other home. Appellant asserts that because the State's theory of the case was that Appellant set the fire to cover up the murder of Smith, Appellant should have been able to ask about fires that occurred while he was incarcerated in order to suggest that another person was the actual perpetrator of the crimes for which Appellant was on trial. For the reasons we explain below, this claim fails.</w:t>
      </w:r>
    </w:p>
    <w:p>
      <w:r>
        <w:t xml:space="preserve">Evidence that a person other than the defendant committed the crime is generally relevant under OCGA § 24-4-401 (“Rule 401”) (defining “relevant evidence” as evidence that has “any tendency to make the existence of any fact that is of consequence to the determination of the action more probable or less probable than it would be without the evidence”). And relevant evidence is generally admissible. See OCGA § 24-4-402. In cases decided under the former Evidence Code, we held that for such third-party guilt evidence to be admissible, it “must raise a reasonable inference of the defendant's innocence, and must directly connect the other person with the corpus delicti, or show that the other person has recently [***15]  committed a crime of the same or similar nature.” Klinect v. State, 269 Ga. 570, 573 (501 SE2d 810) (1998) (addressing claim that curtailment of cross-examination of witness about violent nature of co-defendant precluded defendant from showing that the co-defendant committed the murder). Since the enactment of the current Evidence Code, we have applied a reasonable-inference-of-innocence standard of admissibility when considering the relevance of such evidence under Rule 401. For example, in Roberts v. State, 305 Ga. 257, 260 (824 SE2d 326) (2019), we explained that we have “followed the general rule that, before testimony can be introduced that another person committed the charged crime, the proffered evidence must raise a reasonable inference of the defendant's innocence.” In Roberts, we held that the appellant failed to show that evidence he sought to admit to establish that a third person had a motive to kill the victim was relevant under Rule 401 where the appellant did not identify the third person at trial and “offered nothing more than speculation and conjecture” that a third person could have been involved in the murder. Id. at 260-262.[340]5  [*827]  See also Payne v. State, 314 Ga. 322, 333-334 (877 SE2d 202) (2022) (rejecting claim that trial counsel was deficient in failing to investigate and present evidence that another person was the perpetrator, on the ground that proffered evidence [***16]  was not relevant because it did not raise reasonable inference of appellant's innocence); Goins v. State, 310 Ga. 199, 207-209 (850 SE2d 68) (2020) (applying reasonable-inference-of-innocence standard and laying out Rule-401 relevance standard in addressing whether proffered third-party guilt was admissible).[341]6</w:t>
      </w:r>
    </w:p>
    <w:p>
      <w:r>
        <w:t xml:space="preserve">[**97]  Here, (3) the testimony that Appellant sought to elicit from the fire investigator and other witnesses does not raise a reasonable inference of Appellant's innocence. Rather, the proffered evidence — that two years after Smith's murder, some unidentified person set fire to two occupied dwellings, which dwellings had a tangential connection to Smith's murder — offered nothing more than “speculation and conjecture” that this unidentified person may have done so to hide evidence of that person's involvement in Smith's murder and the arson committed at the scene of the murder. Roberts, 305 Ga. at 261-262. The proffered evidence did not establish that arson was the cause of the 2017 fires, did not identify any person who may have started the fires, and did not connect any specific person to the murder or arson charged in this case. In the absence of any nexus between the 2017 fires and a third party, the evidence does not raise a reasonable inference of Appellant's [***17]  innocence. Thus, applying our [*828]  precedent, the evidence was not admissible under Rule 401 to show another person committed the crimes for which Appellant was on trial. See Goins, 310 Ga. at 207-209 (no abuse of discretion in exclusion of evidence that appellant claimed was relevant to show that other people could have had motive to kill victim, where proffered evidence did not link any other person to the murder or raise a reasonable inference of appellant's innocence and thus failed to meet basic requirements for admissibility under current Evidence Code, including Rule 401); Roberts, 305 Ga. at 261-262. Accordingly, the trial court did not abuse its discretion in precluding Appellant from questioning the fire investigator and other witnesses about fires that occurred while Appellant was incarcerated.</w:t>
      </w:r>
    </w:p>
    <w:p>
      <w:r>
        <w:t xml:space="preserve">5. (4) Appellant's final enumeration of error states that the trial court abused its discretion in denying his motion for mistrial. However, Appellant failed to make his motion for mistrial contemporaneously with the complained-of testimony, and thus, this claim is not preserved for appeal.</w:t>
      </w:r>
    </w:p>
    <w:p>
      <w:r>
        <w:t xml:space="preserve">Before trial, the State filed a notice of intent to present certain “bad-character” evidence, including evidence that Appellant boasted that he had committed murder in 1994 [***18]  and had been found not guilty of that murder. The admissibility of this evidence was discussed at two pretrial hearings. During the second hearing, the trial court ruled, and Appellant agreed, that a witness's testimony about Appellant's own statements would be admissible under Rule 801 (d) (2) (A). See OCGA § 24-8-801 (d) (2) (A) (“Admissions by party-opponent. Admissions shall not be excluded by the hearsay rule. An admission is a statement offered against a party which is … [t]he party's own statement … [.]”). Appellant, however, indicated he would object if a witness testified as to a belief that Appellant previously “got away” with murder.</w:t>
      </w:r>
    </w:p>
    <w:p>
      <w:r>
        <w:t xml:space="preserve">During the direct examination of Williamson, who had been incarcerated with Appellant, the prosecutor asked, “Did Mr. Pittman ever brag about anything concerning the crime?” Appellant did not object, and Williamson testified that Appellant had told him that Appellant had committed a murder in 1994 and had been found not guilty. According to Williamson, Appellant also said, “If you ever want to kill somebody and get away with it, go to Haralson County.” Appellant did not object to or move to strike the testimony, nor did he move for a mistrial at that point. Instead, after the State [***19]  concluded the direct examination, Appellant stated he needed to make a motion outside the presence of the jury. After the jury exited the courtroom, Appellant moved for a mistrial, contending that Williamson's testimony that Appellant said he had committed murder and been found not guilty violated the trial court's pretrial ruling and was “highly [*829]  prejudicial.” The State argued that the testimony was not in violation of the pretrial ruling, and the  [**98]  trial court denied the motion. The trial court later clarified that the basis for its ruling was that Williamson's testimony was admissible under Rule 801 (d) (2) (A).</w:t>
      </w:r>
    </w:p>
    <w:p>
      <w:r>
        <w:t xml:space="preserve">(a) It is well settled that a motion for mistrial must be made as soon as the party is aware of the matter giving rise to the motion, and that the failure to promptly move for a mistrial fails to preserve the issue for appellate review. See, e.g., Lee v. State, 317 Ga. 880, 884-885 (896 SE2d 524) (2023) (holding that “it is well established that a motion for a mistrial must be promptly made as soon as the party is aware of the matter giving rise to the motion” and concluding that the denial of the mistrial motion was not preserved for appeal where motion was not made until day after witness had finished testifying (cleaned up)); Coley v. State, 305 Ga. 658, 661-662 (827 SE2d 241) (2019) (claim of error related [***20]  to denial of mistrial following admission of bad-character evidence was not preserved for appeal where the motion was not made contemporaneously with the testimony at issue); Burrell v. State, 301 Ga. 21, 26 (799 SE2d 181) (2017) (where State's witness had emotional outburst on direct examination, defendant's motion for mistrial made after the defendant had completed the cross-examination failed to preserve the issue for review). Because Appellant did not object to the State's question, which clearly was intended to elicit the testimony discussed at the pretrial hearings, and did not move to strike Williamson's answer, and then waited until after the prosecutor completed the direct examination to make a motion for mistrial, the claim that the trial court abused its discretion in denying a mistrial presents nothing for our review. See Coley, 305 Ga. at 662.</w:t>
      </w:r>
    </w:p>
    <w:p>
      <w:r>
        <w:t xml:space="preserve">(b) Appellant also asserts summarily that the trial court abused its discretion in admitting Appellant's statement to Williamson because his statement about the 1994 murder did not relate to any of the charges in this case. However, Appellant failed to offer a contemporaneous objection to Williamson's testimony. And even during argument regarding the motion for mistrial, Appellant asserted a different ground [***21]  as the reason the testimony was improper. At trial, Appellant argued that a mistrial should be granted because Williamson's testimony was “in direct contradiction with what the Court ordered earlier.” However, as discussed above, the trial court's pretrial ruling was that any such statement made by Appellant to a witness was admissible.[342]7 Under these circumstances, where the basis for the [*830]  objection at trial and argument on appeal are different, this evidentiary claim is not preserved for ordinary appellate review. See OCGA § 24-1-103 (a) (1) (a trial court's ruling admitting evidence is ordinarily reviewable only when “a timely objection or motion to strike appears of record, stating the specific ground of objection, if the specific ground was not apparent from the context”). Compare OCGA § 24-1-103 (a) (“Once the court makes a definitive ruling on the record admitting or excluding any evidence, either at or before trial, a party need not renew an objection or offer of proof to preserve such claim of error for appeal.”); Williams v. Harvey, 311 Ga. 439, 447 (858 SE2d 479) (2021) (to preserve for appeal the violation of a definitive ruling on a motion in limine, a party must make a contemporaneous objection at trial).</w:t>
      </w:r>
    </w:p>
    <w:p>
      <w:r>
        <w:t xml:space="preserve">Even though Appellant does not argue that the admission of this statement [***22]  should be reviewed for plain error, we generally review claims of evidentiary error under a plain error standard when a party raises an evidentiary error but fails to recognize that the error was not preserved for ordinary appellate review. See, e.g., State v. Kenney, 315 Ga. 408, 413 n.10 (883 SE2d 298) (2023) (noting that “we ordinarily review forfeited evidentiary arguments for plain error”); Gates v. State, 298 Ga. 324, 326-327 (781 SE2d 772) (2016) (adopting federal plain-error standard for reviewing claims of unpreserved evidentiary error under OCGA § 24-1-103 (d)). Therefore, we consider whether the trial court's decision not to strike Williamson's testimony about Appellant's statement  [**99]  constitutes plain error under the familiar standard set forth in Gates, 298 Ga. at 327 (to show plain error, appellant bears burden of showing error that is clear or obvious; that was not intentionally waived; that affected appellant's substantial rights, which generally means it must have affected the outcome of the trial court proceedings; and that seriously affected fairness, integrity, or public reputation of judicial proceedings). Appellant argues on appeal only that the “statement about a purported murder in 1994 had nothing to do with the facts of this case” and that “the trial court should have excluded this testimony under [an] OCGA § 24-4-403 balancing analysis.” His argument [***23]  omits any substantive discussion about how the admission of this snippet of testimony affected the outcome of the trial. Given Appellant's cursory treatment of the claim of error and the overwhelming evidence of his guilt, including his own statements, we conclude that he has failed to meet his burden of making “an affirmative showing that the error probably did affect the outcome below.” Bozzie v. State, 302 Ga. 704, 708 (808 SE2d 671) (2017) (cleaned up). Accordingly, there was no plain error. See Williams v. State, 315 Ga. 490, 496 (883 SE2d 733) (2023) [*831]  (we need not analyze all prongs of plain error review where appellant fails to establish one of them).</w:t>
      </w:r>
    </w:p>
    <w:p>
      <w:r>
        <w:t xml:space="preserve">Judgment affirmed. All the Justices concur.</w:t>
      </w:r>
    </w:p>
    <w:p>
      <w:r>
        <w:t xml:space="preserve">Concur by: BOGGS; PETERSON</w:t>
      </w:r>
    </w:p>
    <w:p>
      <w:r>
        <w:t xml:space="preserve">Concur</w:t>
      </w:r>
    </w:p>
    <w:p>
      <w:r>
        <w:t xml:space="preserve">Boggs, Chief Justice, concurring.</w:t>
      </w:r>
    </w:p>
    <w:p>
      <w:r>
        <w:t xml:space="preserve">I obviously agree with all that is said in the opinion. I write separately to note a concern I have with the Court's current practice of analyzing unpreserved evidentiary errors under the four-pronged plain error standard when the appellant does not assert plain error. We have not addressed whether the current Evidence Code requires us to apply plain error review to unpreserved evidentiary errors, and I am skeptical that it does. The source of plain error review of evidentiary errors is OCGA § 24-1-103 (d), which contains no command — but rather gives courts permission [***24]  — to review evidentiary errors for plain error, providing, “Nothing in this Code section shall preclude a court from taking notice of plain errors affecting substantial rights although such errors were not brought to the attention of the court.” We have expressly concluded that plain error review is statutorily required in the context of jury instructions. See State v. Kelly, 290 Ga. 29, 32 (718 SE2d 232) (2011). See also OCGA § 17-8-58 (b) (“Failure to object [to a charge to the jury] in accordance with subsection (a) of this Code section shall preclude appellate review of such portion of the jury charge, unless such portion of the jury charge constitutes plain error which affects substantial rights of the parties. Such plain error may be considered on appeal even if it was not brought to the court's attention as provided in subsection (a) of this Code section.”); OCGA § 5-5-24 (c) (“[T]he appellate courts shall consider and review erroneous charges where there has been a substantial error in the charge which was harmful as a matter of law, regardless of whether objection was made hereunder or not.”). I would welcome the opportunity to consider, with briefing by the parties in an appropriate case, whether our current practice of conducting plain error review of unpreserved evidentiary issues when [***25]  the appellant does not argue plain error is mandated by jurisprudential or statutory concerns.</w:t>
      </w:r>
    </w:p>
    <w:p>
      <w:r>
        <w:t xml:space="preserve">I am authorized to state that Justice LaGrua joins this concurrence.</w:t>
      </w:r>
    </w:p>
    <w:p>
      <w:r>
        <w:t xml:space="preserve">Peterson, Presiding Justice, concurring.</w:t>
      </w:r>
    </w:p>
    <w:p>
      <w:r>
        <w:t xml:space="preserve">I join the Court's opinion in full because it faithfully applies our precedent regarding the admissibility of evidence that a third party may have committed the crime with which the defendant is charged, and that precedent is not challenged here. I write separately to point out that at least some of that precedent may be wrong.</w:t>
      </w:r>
    </w:p>
    <w:p>
      <w:r>
        <w:t xml:space="preserve">[*832]  Division 4 of the Court's opinion rejects Pittman‘s claim that the trial court erred by refusing to admit evidence that someone else set fires in the relevant area while Pittman was in prison. Pittman sought to use that evidence to argue that whoever set those fires may have committed the arson-related crimes with which he was charged here. In rejecting his argument, the Court applies a  [**100]  rule developed under the old Evidence Code and that our precedent has previously carried forward into the current Evidence Code. But I am uncertain that this rule was correct even under the old code, and am even more skeptical that we have properly imported it into our current Evidence [***26]  Code (and we have certainly never explained why that old rule should still apply under the current code).</w:t>
      </w:r>
    </w:p>
    <w:p>
      <w:r>
        <w:t xml:space="preserve">Under the old code, we summarized this rule as follows:</w:t>
      </w:r>
    </w:p>
    <w:p>
      <w:r>
        <w:t xml:space="preserve">Certainly a defendant is entitled to introduce relevant and admissible testimony tending to show that another person committed the crime for which the defendant is tried. However, the proffered evidence must raise a reasonable inference of the defendant's innocence, and must directly connect the other person with the corpus delicti, or show that the other person has recently committed a crime of the same or similar nature.</w:t>
      </w:r>
    </w:p>
    <w:p>
      <w:r>
        <w:t xml:space="preserve">Klinect v. State, 269 Ga. 570, 573 (3) (501 SE2d 810) (1998) (citations omitted). In setting out the test for admissibility, we cited only two Court of Appeals decisions. See id. (citing Croom v. State, 217 Ga. App. 596, 599 (3) (458 SE2d 679) (1995); Bradford v. State, 204 Ga. App. 568 (420 SE2d 4) (1992)). Croom, in turn, cited only Bradford on this point. See Croom, 217 Ga. App. at 599 (3). Bradford cited a treatise and three decisions of this Court. See Bradford, 204 Ga. App. at 569-570. But those decisions of this Court were all decisions reversing convictions on the ground that evidence of third-party guilt had been wrongfully excluded. See Walker v. State, 260 Ga. 737, 738-739 (1) (399 SE2d 199) (1991); Henderson v. State, 255 Ga. 687, 689 (1) (341 SE2d 439) (1986); Butler v. State, 254 Ga. 637, 639-640 (332 SE2d 654) (1985). And none of those cases articulated a rule like the one Bradford applied; rather, they appear to have applied a lower bar to admission. See, e.g., Walker, 260 Ga. at 739 (1) (mere “evidence enough to raise a reasonable doubt as to the defendant's guilt [***27]  in the minds of the jury, not evidence sufficient to convict someone else, would be enough to change the outcome of the case and to warrant reversal”); Henderson, 255 Ga. at 689 (1) (same); Butler, 254 Ga. at 640 (“the evidence as to [the third party] did tend to establish the possibility that [the third party] was responsible for [*833]  committing the crimes[,]” and, therefore, “this evidence was relevant and admissible”) (emphasis added).[343]8</w:t>
      </w:r>
    </w:p>
    <w:p>
      <w:r>
        <w:t xml:space="preserve">In any event, the language Bradford quoted from its chosen treatise began with language that may at first blush seem similar to our current OCGA § 24-4-403 (“Rule 403”): the “accused may introduce evidence tending to show that another person committed the crime with which he is charged … unless the probative value of the evidence is substantially outweighed by actual risk of undue delay, prejudice, or confusion.” Bradford, 204 Ga. App. at 569 (quoting 22A CJS Criminal Law, § 729). But our old code contained no provision identical to our current Rule 403, and a leading Georgia treatise has observed that our Rule 403-equivalent approach under the old code was materially different and led to excluding more evidence than the federal rule would. See Ronald L. Carlson &amp; Michael Scott Carlson, Carlson on Evidence: Comparing Georgia and Federal Rules 121-122 (6th ed. 2018).[344]9 In short, the only authority that did any actual [***28]  analysis and upon which we relied in Klinect did not apply a rule of evidence that the General Assembly carried forward into our current  [**101]  code. See Bradford, 204 Ga. App. at 569-570.</w:t>
      </w:r>
    </w:p>
    <w:p>
      <w:r>
        <w:t xml:space="preserve">Nevertheless, we uncritically adopted Klinect as applicable under the current code. See Moss v. State, 298 Ga. 613, 616-617 (4) (783 SE2d 652) (2016) (citing the test in Klinect). And since then, it's been off to the races. See, e.g., Roberts v. State, 305 Ga. 257, 260-261 (3) (824 SE2d 326) (2019) (citing Moss and numerous old code cases to apply rule from Klinect under current code); Palmer v. State, 318 Ga. 511 (5) (899 SE2d 192) (2024) (citing Klinect, Moss, and Roberts); Payne v. State, 314 Ga. 322, 333 (3) (g) (877 SE2d 202) (2022) (citing Roberts and other cases);[345]10 Goins v. State, 310 Ga. 199, 208 (6) (850 SE2d 68) (2020) (citing Roberts and Moss); Hills v. State, 306 Ga. 800, 803-804 (2) (a) &amp; n.7 (833 SE2d 515) (2019) (citing Roberts); [*834]  and Elkins v. State, 306 Ga. 351, 358 (2) (b) (830 SE2d 217) (2019) (citing Roberts, Moss, and old code cases).</w:t>
      </w:r>
    </w:p>
    <w:p>
      <w:r>
        <w:t xml:space="preserve">In none of these cases did we do the kind of analysis that we have elsewhere held is required in determining whether an old code rule carries forward. One case has at least suggested that the Klinect rule is consistent with Rule 403. See Roberts, 305 Ga. at 260-261 (3). But the rule as we regularly apply it does not resemble the careful fact-specific, case-by-case determination that Rule 403 requires. Instead, it appears to approximate a categorical rule that evidence of third-party guilt must show a direct connection between the third party and the crime in order to survive Rule 403, even if an indirect [***29]  connection could still show the possibility of third-party guilt.[346]11 Categorical rules of that sort did not survive the passage of the current Evidence Code; it is “clear that Rule 403 provides no authority for an appellate court to direct the exclusion of entire categories of evidence.” State v. Orr, 305 Ga. 729, 738 (3) (827 SE2d 892) (2019) (citing Olds v. State, 299 Ga. 65, 76 (2) (786 SE2d 633) (2016) (explaining that the application of Rule 403 “calls for a careful, case-by-case analysis, not a categorical approach”); Williams v. State, 328 Ga. App. 876, 879-880 (1) (763 SE2d 261) (2014) (discussing differences between Rule 403 and prior Georgia precedent on excluding evidence based on its prejudice)).</w:t>
      </w:r>
    </w:p>
    <w:p>
      <w:r>
        <w:t xml:space="preserve">In short, it appears to me that we've uncritically imported an old code rule to the current code without the analysis we regularly require, and the current code justifications that we have actually suggested do not appear to match the rule's actual application. In an appropriate case, we should consider whether our case law is correct. In that event, we would also need to consider what, if any, approach federal courts and especially the Eleventh Circuit had taken as of 2011.[347]12  [**102]  See State v. Almanza, 304 Ga. 553, 555-557 (2) (820 SE2d 1) (2018).</w:t>
      </w:r>
    </w:p>
    <w:p>
      <w:r>
        <w:t xml:space="preserve">[*835]  I am authorized to state that Chief Justice Boggs, and Justice Warren, Justice Bethel, Justice McMillian, and Justice Pinson join in this concurrence.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2026-04-01T21:19:34.974Z</dcterms:created>
  <dcterms:modified xsi:type="dcterms:W3CDTF">2026-04-01T21:19:34.974Z</dcterms:modified>
</cp:coreProperties>
</file>

<file path=docProps/custom.xml><?xml version="1.0" encoding="utf-8"?>
<Properties xmlns="http://schemas.openxmlformats.org/officeDocument/2006/custom-properties" xmlns:vt="http://schemas.openxmlformats.org/officeDocument/2006/docPropsVTypes"/>
</file>