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Cook-Rose v. Waffle House, Inc.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S24A1094</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320 Ga. 567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910 S.E.2d 562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305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24376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5171484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COOK-ROSE et al. v. WAFFLE HOUSE, INC.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Discretionary appeal. Gwinnett State Court. Before Judge Dove.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6"/>
      <w:bookmarkEnd w:id="4"/>
      <w:r>
        <w:rPr>
          <w:rFonts w:ascii="arial" w:eastAsia="arial" w:hAnsi="arial" w:cs="arial"/>
          <w:b w:val="0"/>
          <w:i w:val="0"/>
          <w:strike w:val="0"/>
          <w:noProof w:val="0"/>
          <w:color w:val="000000"/>
          <w:position w:val="0"/>
          <w:sz w:val="20"/>
          <w:u w:val="none"/>
          <w:vertAlign w:val="baseline"/>
        </w:rPr>
        <w:t>Judgment reversed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Reynolds Law Group, Thomas E. Reynolds; Kastorf Law, Kurt G. Kastorf; Bird Law Group, Alexandria E. Seay; Pattni Law Group, Rishi D. Pattni</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Moore Ingram Johnson &amp; Steele, Robert D. Ingram, Ryan M. Ingram, David P. Conley; Maximilian P. Perwich</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PETERSON, Presiding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PETERSON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[*567] </w:t>
      </w:r>
      <w:r>
        <w:rPr>
          <w:rFonts w:ascii="arial" w:eastAsia="arial" w:hAnsi="arial" w:cs="arial"/>
          <w:b w:val="0"/>
          <w:i w:val="0"/>
          <w:strike w:val="0"/>
          <w:noProof w:val="0"/>
          <w:color w:val="000000"/>
          <w:position w:val="0"/>
          <w:sz w:val="20"/>
          <w:u w:val="none"/>
          <w:vertAlign w:val="baseline"/>
        </w:rPr>
        <w:t> [**563]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Peterson</w:t>
      </w:r>
      <w:r>
        <w:rPr>
          <w:rFonts w:ascii="arial" w:eastAsia="arial" w:hAnsi="arial" w:cs="arial"/>
          <w:b w:val="0"/>
          <w:i w:val="0"/>
          <w:strike w:val="0"/>
          <w:noProof w:val="0"/>
          <w:color w:val="000000"/>
          <w:position w:val="0"/>
          <w:sz w:val="20"/>
          <w:u w:val="none"/>
          <w:vertAlign w:val="baseline"/>
        </w:rPr>
        <w:t>, Presiding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appeal is about whether a trial court's order could be immediately appealed or only after securing a certificate of immediate review from the trial court. After the plaintiffs in this case voluntarily dismissed their first suit and then filed a renewal action, the trial court awarded attorneys' fees to the defendants in the dismissed action. The plaintiffs appealed the attorneys‘ fees order by filing an application for discretionary review. The Court of Appeals dismissed the application for failure to obtain a certificate of immediate review from the trial court, reasoning that, because the plaintiffs renewed their lawsuit, the case was still pending below</w:t>
      </w:r>
      <w:r>
        <w:rPr>
          <w:rFonts w:ascii="arial" w:eastAsia="arial" w:hAnsi="arial" w:cs="arial"/>
          <w:b w:val="0"/>
          <w:i w:val="0"/>
          <w:strike w:val="0"/>
          <w:noProof w:val="0"/>
          <w:color w:val="000000"/>
          <w:position w:val="0"/>
          <w:sz w:val="20"/>
          <w:u w:val="none"/>
          <w:vertAlign w:val="baseline"/>
        </w:rPr>
        <w:t> [*568] </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val="0"/>
          <w:i w:val="0"/>
          <w:strike w:val="0"/>
          <w:noProof w:val="0"/>
          <w:color w:val="000000"/>
          <w:position w:val="0"/>
          <w:sz w:val="20"/>
          <w:u w:val="none"/>
          <w:vertAlign w:val="baseline"/>
        </w:rPr>
        <w:t> [**564] </w:t>
      </w:r>
      <w:r>
        <w:rPr>
          <w:rFonts w:ascii="arial" w:eastAsia="arial" w:hAnsi="arial" w:cs="arial"/>
          <w:b w:val="0"/>
          <w:i w:val="0"/>
          <w:strike w:val="0"/>
          <w:noProof w:val="0"/>
          <w:color w:val="000000"/>
          <w:position w:val="0"/>
          <w:sz w:val="20"/>
          <w:u w:val="none"/>
          <w:vertAlign w:val="baseline"/>
        </w:rPr>
        <w:t xml:space="preserve"> award order was not a final judgment under </w:t>
      </w:r>
      <w:r>
        <w:rPr>
          <w:rFonts w:ascii="arial" w:eastAsia="arial" w:hAnsi="arial" w:cs="arial"/>
          <w:b w:val="0"/>
          <w:i/>
          <w:strike w:val="0"/>
          <w:noProof w:val="0"/>
          <w:color w:val="000000"/>
          <w:position w:val="0"/>
          <w:sz w:val="20"/>
          <w:u w:val="none"/>
          <w:vertAlign w:val="baseline"/>
        </w:rPr>
        <w:t>OCGA § 5-6-34 (a) (1)</w:t>
      </w:r>
      <w:r>
        <w:rPr>
          <w:rFonts w:ascii="arial" w:eastAsia="arial" w:hAnsi="arial" w:cs="arial"/>
          <w:b w:val="0"/>
          <w:i w:val="0"/>
          <w:strike w:val="0"/>
          <w:noProof w:val="0"/>
          <w:color w:val="000000"/>
          <w:position w:val="0"/>
          <w:sz w:val="20"/>
          <w:u w:val="none"/>
          <w:vertAlign w:val="baseline"/>
        </w:rPr>
        <w:t>. We granted certiorari.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conclude that the renewed suit was a new case, not a continuance of the dismissed case, and so the pendency of the renewal action did not mean that the dismissed case was still pending below. Because the operative language of </w:t>
      </w:r>
      <w:r>
        <w:rPr>
          <w:rFonts w:ascii="arial" w:eastAsia="arial" w:hAnsi="arial" w:cs="arial"/>
          <w:b w:val="0"/>
          <w:i/>
          <w:strike w:val="0"/>
          <w:noProof w:val="0"/>
          <w:color w:val="000000"/>
          <w:position w:val="0"/>
          <w:sz w:val="20"/>
          <w:u w:val="none"/>
          <w:vertAlign w:val="baseline"/>
        </w:rPr>
        <w:t>OCGA § 5-6-34 (a) (1)</w:t>
      </w:r>
      <w:r>
        <w:rPr>
          <w:rFonts w:ascii="arial" w:eastAsia="arial" w:hAnsi="arial" w:cs="arial"/>
          <w:b w:val="0"/>
          <w:i w:val="0"/>
          <w:strike w:val="0"/>
          <w:noProof w:val="0"/>
          <w:color w:val="000000"/>
          <w:position w:val="0"/>
          <w:sz w:val="20"/>
          <w:u w:val="none"/>
          <w:vertAlign w:val="baseline"/>
        </w:rPr>
        <w:t xml:space="preserve"> permits an immediate appeal when “the case is no longer pending in the court below,” no certificate of immediate review was required and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Court of Appeals erred in dismissing the application for discretionary review. We therefore reverse and remand for consideration of that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The underlying proceedings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underlying facts are not in dispute. In October 2019, several individuals (the “Plaintiffs”) filed a premises liability suit against Waffle House, Inc., and WH Capital, LLC (the “Defendants”). In April 2021, the Defendants filed a motion for sanctions due to the Plaintiffs' alleged failure to comply with the trial court's discovery order. In July 2021, while the motion for sanctions was pending, the Plaintiffs dismissed their lawsuit without prejudice. In September 2021, the Defendants filed an </w:t>
      </w:r>
      <w:hyperlink r:id="rId9" w:history="1">
        <w:r>
          <w:rPr>
            <w:rFonts w:ascii="arial" w:eastAsia="arial" w:hAnsi="arial" w:cs="arial"/>
            <w:b w:val="0"/>
            <w:i/>
            <w:strike w:val="0"/>
            <w:noProof w:val="0"/>
            <w:color w:val="0077CC"/>
            <w:position w:val="0"/>
            <w:sz w:val="20"/>
            <w:u w:val="single"/>
            <w:shd w:val="clear" w:color="auto" w:fill="FFFFFF"/>
            <w:vertAlign w:val="baseline"/>
          </w:rPr>
          <w:t>OCGA § 9-15-14</w:t>
        </w:r>
      </w:hyperlink>
      <w:r>
        <w:rPr>
          <w:rFonts w:ascii="arial" w:eastAsia="arial" w:hAnsi="arial" w:cs="arial"/>
          <w:b w:val="0"/>
          <w:i w:val="0"/>
          <w:strike w:val="0"/>
          <w:noProof w:val="0"/>
          <w:color w:val="000000"/>
          <w:position w:val="0"/>
          <w:sz w:val="20"/>
          <w:u w:val="none"/>
          <w:vertAlign w:val="baseline"/>
        </w:rPr>
        <w:t xml:space="preserve"> motion for attorneys' fees, arguing that the Plaintiffs attempted to escape sanctions by dismissing their lawsuit.</w:t>
      </w:r>
    </w:p>
    <w:p>
      <w:pPr>
        <w:keepNext w:val="0"/>
        <w:spacing w:before="240" w:after="0" w:line="260" w:lineRule="atLeast"/>
        <w:ind w:left="0" w:right="0" w:firstLine="0"/>
        <w:jc w:val="both"/>
      </w:pPr>
      <w:bookmarkStart w:id="9" w:name="Bookmark_I6DWMFVD2D6N6P0020000400"/>
      <w:bookmarkEnd w:id="9"/>
      <w:r>
        <w:rPr>
          <w:rFonts w:ascii="arial" w:eastAsia="arial" w:hAnsi="arial" w:cs="arial"/>
          <w:b w:val="0"/>
          <w:i w:val="0"/>
          <w:strike w:val="0"/>
          <w:noProof w:val="0"/>
          <w:color w:val="000000"/>
          <w:position w:val="0"/>
          <w:sz w:val="20"/>
          <w:u w:val="none"/>
          <w:vertAlign w:val="baseline"/>
        </w:rPr>
        <w:t xml:space="preserve">Thereafter, the Plaintiffs filed a renewal action under </w:t>
      </w:r>
      <w:hyperlink r:id="rId10" w:history="1">
        <w:r>
          <w:rPr>
            <w:rFonts w:ascii="arial" w:eastAsia="arial" w:hAnsi="arial" w:cs="arial"/>
            <w:b w:val="0"/>
            <w:i/>
            <w:strike w:val="0"/>
            <w:noProof w:val="0"/>
            <w:color w:val="0077CC"/>
            <w:position w:val="0"/>
            <w:sz w:val="20"/>
            <w:u w:val="single"/>
            <w:shd w:val="clear" w:color="auto" w:fill="FFFFFF"/>
            <w:vertAlign w:val="baseline"/>
          </w:rPr>
          <w:t>OCGA § 9-2-61 (a)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July 2022, the trial court awarded the Defendants $101,082 in attorneys' fees in the dismissed case. The Plaintiffs sought to appeal the attorneys' fees award by filing an application for discretionary appeal. The Court of Appeals dismissed the application, concluding that because the Plaintiffs had filed a renewal action, the “action remains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pending below” making the fee award a non-final order, and thus the Plaintiffs were required to obtain a certificate of immediate review. The Court of Appeals's analysis relied in part on </w:t>
      </w:r>
      <w:bookmarkStart w:id="11" w:name="Bookmark_I6DWMFVD2D6N6P0010000400"/>
      <w:bookmarkEnd w:id="11"/>
      <w:hyperlink r:id="rId11" w:history="1">
        <w:r>
          <w:rPr>
            <w:rFonts w:ascii="arial" w:eastAsia="arial" w:hAnsi="arial" w:cs="arial"/>
            <w:b w:val="0"/>
            <w:i/>
            <w:strike w:val="0"/>
            <w:noProof w:val="0"/>
            <w:color w:val="0077CC"/>
            <w:position w:val="0"/>
            <w:sz w:val="20"/>
            <w:u w:val="single"/>
            <w:shd w:val="clear" w:color="auto" w:fill="FFFFFF"/>
            <w:vertAlign w:val="baseline"/>
          </w:rPr>
          <w:t>Eidson v. Croutch</w:t>
        </w:r>
      </w:hyperlink>
      <w:hyperlink r:id="rId12" w:history="1">
        <w:r>
          <w:rPr>
            <w:rFonts w:ascii="arial" w:eastAsia="arial" w:hAnsi="arial" w:cs="arial"/>
            <w:b w:val="0"/>
            <w:i/>
            <w:strike w:val="0"/>
            <w:noProof w:val="0"/>
            <w:color w:val="0077CC"/>
            <w:position w:val="0"/>
            <w:sz w:val="20"/>
            <w:u w:val="single"/>
            <w:shd w:val="clear" w:color="auto" w:fill="FFFFFF"/>
            <w:vertAlign w:val="baseline"/>
          </w:rPr>
          <w:t>, 337 Ga. App. 542 (788 SE2d 129)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[*569] </w:t>
      </w:r>
      <w:r>
        <w:rPr>
          <w:rFonts w:ascii="arial" w:eastAsia="arial" w:hAnsi="arial" w:cs="arial"/>
          <w:b w:val="0"/>
          <w:i w:val="0"/>
          <w:strike w:val="0"/>
          <w:noProof w:val="0"/>
          <w:color w:val="000000"/>
          <w:position w:val="0"/>
          <w:sz w:val="20"/>
          <w:u w:val="none"/>
          <w:vertAlign w:val="baseline"/>
        </w:rPr>
        <w:t xml:space="preserve"> 2. </w:t>
      </w:r>
      <w:r>
        <w:rPr>
          <w:rFonts w:ascii="arial" w:eastAsia="arial" w:hAnsi="arial" w:cs="arial"/>
          <w:b w:val="0"/>
          <w:i/>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12" w:name="Bookmark_I6DWMFVD2D6N6P0040000400"/>
      <w:bookmarkEnd w:id="12"/>
      <w:bookmarkStart w:id="13" w:name="Bookmark_I6DWMFVD2N1PSX0010000400"/>
      <w:bookmarkEnd w:id="13"/>
      <w:r>
        <w:rPr>
          <w:rFonts w:ascii="arial" w:eastAsia="arial" w:hAnsi="arial" w:cs="arial"/>
          <w:b w:val="0"/>
          <w:i w:val="0"/>
          <w:strike w:val="0"/>
          <w:noProof w:val="0"/>
          <w:color w:val="000000"/>
          <w:position w:val="0"/>
          <w:sz w:val="20"/>
          <w:u w:val="none"/>
          <w:vertAlign w:val="baseline"/>
        </w:rPr>
        <w:t xml:space="preserve">The Plaintiffs argue on appeal that the Court of Appeals erred in dismissing their application because </w:t>
      </w:r>
      <w:bookmarkStart w:id="14" w:name="Bookmark_I6DWMFVD2D6N6P0030000400"/>
      <w:bookmarkEnd w:id="14"/>
      <w:hyperlink r:id="rId13" w:history="1">
        <w:r>
          <w:rPr>
            <w:rFonts w:ascii="arial" w:eastAsia="arial" w:hAnsi="arial" w:cs="arial"/>
            <w:b w:val="0"/>
            <w:i/>
            <w:strike w:val="0"/>
            <w:noProof w:val="0"/>
            <w:color w:val="0077CC"/>
            <w:position w:val="0"/>
            <w:sz w:val="20"/>
            <w:u w:val="single"/>
            <w:shd w:val="clear" w:color="auto" w:fill="FFFFFF"/>
            <w:vertAlign w:val="baseline"/>
          </w:rPr>
          <w:t>Eidson</w:t>
        </w:r>
      </w:hyperlink>
      <w:r>
        <w:rPr>
          <w:rFonts w:ascii="arial" w:eastAsia="arial" w:hAnsi="arial" w:cs="arial"/>
          <w:b w:val="0"/>
          <w:i w:val="0"/>
          <w:strike w:val="0"/>
          <w:noProof w:val="0"/>
          <w:color w:val="000000"/>
          <w:position w:val="0"/>
          <w:sz w:val="20"/>
          <w:u w:val="none"/>
          <w:vertAlign w:val="baseline"/>
        </w:rPr>
        <w:t xml:space="preserve"> was wrongly decided and should not be followed. </w:t>
      </w:r>
      <w:bookmarkStart w:id="15" w:name="Bookmark_II08F5YG9NHK003RWNRY00K7P"/>
      <w:bookmarkEnd w:id="15"/>
      <w:bookmarkStart w:id="16" w:name="Bookmark_I6DWMFVD2N1PSX0030000400"/>
      <w:bookmarkEnd w:id="16"/>
      <w:r>
        <w:rPr>
          <w:rFonts w:ascii="arial" w:eastAsia="arial" w:hAnsi="arial" w:cs="arial"/>
          <w:b w:val="0"/>
          <w:i w:val="0"/>
          <w:strike w:val="0"/>
          <w:noProof w:val="0"/>
          <w:color w:val="000000"/>
          <w:position w:val="0"/>
          <w:sz w:val="20"/>
          <w:u w:val="none"/>
          <w:vertAlign w:val="baseline"/>
        </w:rPr>
        <w:t xml:space="preserve">The Plaintiffs also argue that, even if </w:t>
      </w:r>
      <w:bookmarkStart w:id="17" w:name="Bookmark_I6DWMFVD2N1PSX0030000400_2"/>
      <w:bookmarkEnd w:id="17"/>
      <w:bookmarkStart w:id="18" w:name="Bookmark_I6DWMFVD2N1PSX0010000400_2"/>
      <w:bookmarkEnd w:id="18"/>
      <w:bookmarkStart w:id="19" w:name="Bookmark_I6DWMFVD2D6N6P0040000400_2"/>
      <w:bookmarkEnd w:id="19"/>
      <w:bookmarkStart w:id="20" w:name="Bookmark_I6DWMFVD2D6N6P0050000400"/>
      <w:bookmarkEnd w:id="20"/>
      <w:hyperlink r:id="rId14" w:history="1">
        <w:r>
          <w:rPr>
            <w:rFonts w:ascii="arial" w:eastAsia="arial" w:hAnsi="arial" w:cs="arial"/>
            <w:b w:val="0"/>
            <w:i/>
            <w:strike w:val="0"/>
            <w:noProof w:val="0"/>
            <w:color w:val="0077CC"/>
            <w:position w:val="0"/>
            <w:sz w:val="20"/>
            <w:u w:val="single"/>
            <w:shd w:val="clear" w:color="auto" w:fill="FFFFFF"/>
            <w:vertAlign w:val="baseline"/>
          </w:rPr>
          <w:t>Eidson</w:t>
        </w:r>
      </w:hyperlink>
      <w:r>
        <w:rPr>
          <w:rFonts w:ascii="arial" w:eastAsia="arial" w:hAnsi="arial" w:cs="arial"/>
          <w:b w:val="0"/>
          <w:i w:val="0"/>
          <w:strike w:val="0"/>
          <w:noProof w:val="0"/>
          <w:color w:val="000000"/>
          <w:position w:val="0"/>
          <w:sz w:val="20"/>
          <w:u w:val="none"/>
          <w:vertAlign w:val="baseline"/>
        </w:rPr>
        <w:t xml:space="preserve"> was correctly decided, it does not apply to renewal actions. We agree that the Court of Appeals erred in dismissing their application and need not consider the propriety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w:t>
      </w:r>
      <w:bookmarkStart w:id="21" w:name="Bookmark_I6DWMFVD2N1PSX0030000400_3"/>
      <w:bookmarkEnd w:id="21"/>
      <w:bookmarkStart w:id="22" w:name="Bookmark_I6DWMFVD2N1PSX0020000400"/>
      <w:bookmarkEnd w:id="22"/>
      <w:hyperlink r:id="rId15" w:history="1">
        <w:r>
          <w:rPr>
            <w:rFonts w:ascii="arial" w:eastAsia="arial" w:hAnsi="arial" w:cs="arial"/>
            <w:b w:val="0"/>
            <w:i/>
            <w:strike w:val="0"/>
            <w:noProof w:val="0"/>
            <w:color w:val="0077CC"/>
            <w:position w:val="0"/>
            <w:sz w:val="20"/>
            <w:u w:val="single"/>
            <w:shd w:val="clear" w:color="auto" w:fill="FFFFFF"/>
            <w:vertAlign w:val="baseline"/>
          </w:rPr>
          <w:t>Eidson</w:t>
        </w:r>
      </w:hyperlink>
      <w:r>
        <w:rPr>
          <w:rFonts w:ascii="arial" w:eastAsia="arial" w:hAnsi="arial" w:cs="arial"/>
          <w:b w:val="0"/>
          <w:i w:val="0"/>
          <w:strike w:val="0"/>
          <w:noProof w:val="0"/>
          <w:color w:val="000000"/>
          <w:position w:val="0"/>
          <w:sz w:val="20"/>
          <w:u w:val="none"/>
          <w:vertAlign w:val="baseline"/>
        </w:rPr>
        <w:t xml:space="preserve"> as it does not apply here.</w:t>
      </w:r>
    </w:p>
    <w:p>
      <w:pPr>
        <w:keepNext w:val="0"/>
        <w:spacing w:before="240" w:after="0" w:line="260" w:lineRule="atLeast"/>
        <w:ind w:left="0" w:right="0" w:firstLine="0"/>
        <w:jc w:val="both"/>
      </w:pPr>
      <w:bookmarkStart w:id="23" w:name="Bookmark_LNHNREFclscc1"/>
      <w:bookmarkEnd w:id="23"/>
      <w:r>
        <w:rPr>
          <w:rFonts w:ascii="arial" w:eastAsia="arial" w:hAnsi="arial" w:cs="arial"/>
          <w:b w:val="0"/>
          <w:i w:val="0"/>
          <w:strike w:val="0"/>
          <w:noProof w:val="0"/>
          <w:color w:val="000000"/>
          <w:position w:val="0"/>
          <w:sz w:val="20"/>
          <w:u w:val="none"/>
          <w:vertAlign w:val="baseline"/>
        </w:rPr>
        <w:t xml:space="preserve">A party seeking to appeal a trial court's order to this Court or the Court of Appeals must follow the procedures laid out in two Code sections, </w:t>
      </w:r>
      <w:r>
        <w:rPr>
          <w:rFonts w:ascii="arial" w:eastAsia="arial" w:hAnsi="arial" w:cs="arial"/>
          <w:b w:val="0"/>
          <w:i/>
          <w:strike w:val="0"/>
          <w:noProof w:val="0"/>
          <w:color w:val="000000"/>
          <w:position w:val="0"/>
          <w:sz w:val="20"/>
          <w:u w:val="none"/>
          <w:vertAlign w:val="baseline"/>
        </w:rPr>
        <w:t>OCGA § 5-6-34</w:t>
      </w:r>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shd w:val="clear" w:color="auto" w:fill="FFFFFF"/>
            <w:vertAlign w:val="baseline"/>
          </w:rPr>
          <w:t>OCGA § 5-6-35</w:t>
        </w:r>
      </w:hyperlink>
      <w:r>
        <w:rPr>
          <w:rFonts w:ascii="arial" w:eastAsia="arial" w:hAnsi="arial" w:cs="arial"/>
          <w:b w:val="0"/>
          <w:i w:val="0"/>
          <w:strike w:val="0"/>
          <w:noProof w:val="0"/>
          <w:color w:val="000000"/>
          <w:position w:val="0"/>
          <w:sz w:val="20"/>
          <w:u w:val="none"/>
          <w:vertAlign w:val="baseline"/>
        </w:rPr>
        <w:t xml:space="preserve">. </w:t>
      </w:r>
      <w:bookmarkStart w:id="24" w:name="Bookmark_I6DWMFVD2N1PSX0050000400"/>
      <w:bookmarkEnd w:id="24"/>
      <w:r>
        <w:rPr>
          <w:rFonts w:ascii="arial" w:eastAsia="arial" w:hAnsi="arial" w:cs="arial"/>
          <w:b w:val="0"/>
          <w:i/>
          <w:strike w:val="0"/>
          <w:noProof w:val="0"/>
          <w:color w:val="000000"/>
          <w:position w:val="0"/>
          <w:sz w:val="20"/>
          <w:u w:val="none"/>
          <w:vertAlign w:val="baseline"/>
        </w:rPr>
        <w:t>OCGA § 5-6-34 (a)</w:t>
      </w:r>
      <w:r>
        <w:rPr>
          <w:rFonts w:ascii="arial" w:eastAsia="arial" w:hAnsi="arial" w:cs="arial"/>
          <w:b w:val="0"/>
          <w:i w:val="0"/>
          <w:strike w:val="0"/>
          <w:noProof w:val="0"/>
          <w:color w:val="000000"/>
          <w:position w:val="0"/>
          <w:sz w:val="20"/>
          <w:u w:val="none"/>
          <w:vertAlign w:val="baseline"/>
        </w:rPr>
        <w:t xml:space="preserve"> lists the trial court judgments and orders that may be appealed immediately, while </w:t>
      </w:r>
      <w:r>
        <w:rPr>
          <w:rFonts w:ascii="arial" w:eastAsia="arial" w:hAnsi="arial" w:cs="arial"/>
          <w:b w:val="0"/>
          <w:i/>
          <w:strike w:val="0"/>
          <w:noProof w:val="0"/>
          <w:color w:val="000000"/>
          <w:position w:val="0"/>
          <w:sz w:val="20"/>
          <w:u w:val="none"/>
          <w:vertAlign w:val="baseline"/>
        </w:rPr>
        <w:t>subsection (b)</w:t>
      </w:r>
      <w:r>
        <w:rPr>
          <w:rFonts w:ascii="arial" w:eastAsia="arial" w:hAnsi="arial" w:cs="arial"/>
          <w:b w:val="0"/>
          <w:i w:val="0"/>
          <w:strike w:val="0"/>
          <w:noProof w:val="0"/>
          <w:color w:val="000000"/>
          <w:position w:val="0"/>
          <w:sz w:val="20"/>
          <w:u w:val="none"/>
          <w:vertAlign w:val="baseline"/>
        </w:rPr>
        <w:t xml:space="preserve"> provides that for other orders a party must follow the interlocutory appeal procedure to obtain trial court permission to seek appellate review. We have said that even where the judgment or order is subject to an immediate appeal under </w:t>
      </w:r>
      <w:r>
        <w:rPr>
          <w:rFonts w:ascii="arial" w:eastAsia="arial" w:hAnsi="arial" w:cs="arial"/>
          <w:b w:val="0"/>
          <w:i/>
          <w:strike w:val="0"/>
          <w:noProof w:val="0"/>
          <w:color w:val="000000"/>
          <w:position w:val="0"/>
          <w:sz w:val="20"/>
          <w:u w:val="none"/>
          <w:vertAlign w:val="baseline"/>
        </w:rPr>
        <w:t>OCGA § 5-6-34 (a)</w:t>
      </w:r>
      <w:r>
        <w:rPr>
          <w:rFonts w:ascii="arial" w:eastAsia="arial" w:hAnsi="arial" w:cs="arial"/>
          <w:b w:val="0"/>
          <w:i w:val="0"/>
          <w:strike w:val="0"/>
          <w:noProof w:val="0"/>
          <w:color w:val="000000"/>
          <w:position w:val="0"/>
          <w:sz w:val="20"/>
          <w:u w:val="none"/>
          <w:vertAlign w:val="baseline"/>
        </w:rPr>
        <w:t xml:space="preserve">, if the underlying subject matter is listed in </w:t>
      </w:r>
      <w:hyperlink r:id="rId17" w:history="1">
        <w:r>
          <w:rPr>
            <w:rFonts w:ascii="arial" w:eastAsia="arial" w:hAnsi="arial" w:cs="arial"/>
            <w:b w:val="0"/>
            <w:i/>
            <w:strike w:val="0"/>
            <w:noProof w:val="0"/>
            <w:color w:val="0077CC"/>
            <w:position w:val="0"/>
            <w:sz w:val="20"/>
            <w:u w:val="single"/>
            <w:shd w:val="clear" w:color="auto" w:fill="FFFFFF"/>
            <w:vertAlign w:val="baseline"/>
          </w:rPr>
          <w:t>OCGA § 5-6-35 (a)</w:t>
        </w:r>
      </w:hyperlink>
      <w:r>
        <w:rPr>
          <w:rFonts w:ascii="arial" w:eastAsia="arial" w:hAnsi="arial" w:cs="arial"/>
          <w:b w:val="0"/>
          <w:i w:val="0"/>
          <w:strike w:val="0"/>
          <w:noProof w:val="0"/>
          <w:color w:val="000000"/>
          <w:position w:val="0"/>
          <w:sz w:val="20"/>
          <w:u w:val="none"/>
          <w:vertAlign w:val="baseline"/>
        </w:rPr>
        <w:t xml:space="preserve">, a party must follow the discretionary application process. See </w:t>
      </w:r>
      <w:bookmarkStart w:id="25" w:name="Bookmark_I6DWMFVD2N1PSX0040000400"/>
      <w:bookmarkEnd w:id="25"/>
      <w:hyperlink r:id="rId18" w:history="1">
        <w:r>
          <w:rPr>
            <w:rFonts w:ascii="arial" w:eastAsia="arial" w:hAnsi="arial" w:cs="arial"/>
            <w:b w:val="0"/>
            <w:i/>
            <w:strike w:val="0"/>
            <w:noProof w:val="0"/>
            <w:color w:val="0077CC"/>
            <w:position w:val="0"/>
            <w:sz w:val="20"/>
            <w:u w:val="single"/>
            <w:shd w:val="clear" w:color="auto" w:fill="FFFFFF"/>
            <w:vertAlign w:val="baseline"/>
          </w:rPr>
          <w:t>Grogan v. City of Dawsonville</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 305 Ga. 79, 82 (2) (823 SE2d 763) (2019)</w:t>
        </w:r>
      </w:hyperlink>
      <w:r>
        <w:rPr>
          <w:rFonts w:ascii="arial" w:eastAsia="arial" w:hAnsi="arial" w:cs="arial"/>
          <w:b w:val="0"/>
          <w:i w:val="0"/>
          <w:strike w:val="0"/>
          <w:noProof w:val="0"/>
          <w:color w:val="000000"/>
          <w:position w:val="0"/>
          <w:sz w:val="20"/>
          <w:u w:val="none"/>
          <w:vertAlign w:val="baseline"/>
        </w:rPr>
        <w:t xml:space="preserve">. The order at issue here would be subject to the interlocutory appeal procedure if it was not a final order; but if it was a final order, then a discretionary application was required because an award of fees under </w:t>
      </w:r>
      <w:hyperlink r:id="rId20" w:history="1">
        <w:r>
          <w:rPr>
            <w:rFonts w:ascii="arial" w:eastAsia="arial" w:hAnsi="arial" w:cs="arial"/>
            <w:b w:val="0"/>
            <w:i/>
            <w:strike w:val="0"/>
            <w:noProof w:val="0"/>
            <w:color w:val="0077CC"/>
            <w:position w:val="0"/>
            <w:sz w:val="20"/>
            <w:u w:val="single"/>
            <w:shd w:val="clear" w:color="auto" w:fill="FFFFFF"/>
            <w:vertAlign w:val="baseline"/>
          </w:rPr>
          <w:t>OCGA § 9-15-14</w:t>
        </w:r>
      </w:hyperlink>
      <w:r>
        <w:rPr>
          <w:rFonts w:ascii="arial" w:eastAsia="arial" w:hAnsi="arial" w:cs="arial"/>
          <w:b w:val="0"/>
          <w:i w:val="0"/>
          <w:strike w:val="0"/>
          <w:noProof w:val="0"/>
          <w:color w:val="000000"/>
          <w:position w:val="0"/>
          <w:sz w:val="20"/>
          <w:u w:val="none"/>
          <w:vertAlign w:val="baseline"/>
        </w:rPr>
        <w:t xml:space="preserve"> is listed under </w:t>
      </w:r>
      <w:hyperlink r:id="rId21" w:history="1">
        <w:r>
          <w:rPr>
            <w:rFonts w:ascii="arial" w:eastAsia="arial" w:hAnsi="arial" w:cs="arial"/>
            <w:b w:val="0"/>
            <w:i/>
            <w:strike w:val="0"/>
            <w:noProof w:val="0"/>
            <w:color w:val="0077CC"/>
            <w:position w:val="0"/>
            <w:sz w:val="20"/>
            <w:u w:val="single"/>
            <w:shd w:val="clear" w:color="auto" w:fill="FFFFFF"/>
            <w:vertAlign w:val="baseline"/>
          </w:rPr>
          <w:t>OCGA § 5-6-35 (a) (10)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LNHNREFclscc2"/>
      <w:bookmarkEnd w:id="26"/>
      <w:r>
        <w:rPr>
          <w:rFonts w:ascii="arial" w:eastAsia="arial" w:hAnsi="arial" w:cs="arial"/>
          <w:b w:val="0"/>
          <w:i w:val="0"/>
          <w:strike w:val="0"/>
          <w:noProof w:val="0"/>
          <w:color w:val="000000"/>
          <w:position w:val="0"/>
          <w:sz w:val="20"/>
          <w:u w:val="none"/>
          <w:vertAlign w:val="baseline"/>
        </w:rPr>
        <w:t xml:space="preserve">The question here is whether the order awarding fees was a “final judgment,” which is defined as “where the case is no </w:t>
      </w:r>
      <w:r>
        <w:rPr>
          <w:rFonts w:ascii="arial" w:eastAsia="arial" w:hAnsi="arial" w:cs="arial"/>
          <w:b w:val="0"/>
          <w:i w:val="0"/>
          <w:strike w:val="0"/>
          <w:noProof w:val="0"/>
          <w:color w:val="000000"/>
          <w:position w:val="0"/>
          <w:sz w:val="20"/>
          <w:u w:val="none"/>
          <w:vertAlign w:val="baseline"/>
        </w:rPr>
        <w:t> [**565] </w:t>
      </w:r>
      <w:r>
        <w:rPr>
          <w:rFonts w:ascii="arial" w:eastAsia="arial" w:hAnsi="arial" w:cs="arial"/>
          <w:b w:val="0"/>
          <w:i w:val="0"/>
          <w:strike w:val="0"/>
          <w:noProof w:val="0"/>
          <w:color w:val="000000"/>
          <w:position w:val="0"/>
          <w:sz w:val="20"/>
          <w:u w:val="none"/>
          <w:vertAlign w:val="baseline"/>
        </w:rPr>
        <w:t xml:space="preserve"> longer pending in the court below[.]” </w:t>
      </w:r>
      <w:r>
        <w:rPr>
          <w:rFonts w:ascii="arial" w:eastAsia="arial" w:hAnsi="arial" w:cs="arial"/>
          <w:b w:val="0"/>
          <w:i/>
          <w:strike w:val="0"/>
          <w:noProof w:val="0"/>
          <w:color w:val="000000"/>
          <w:position w:val="0"/>
          <w:sz w:val="20"/>
          <w:u w:val="none"/>
          <w:vertAlign w:val="baseline"/>
        </w:rPr>
        <w:t>OCGA § 5-6-34 (a) (1)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When we consider the meaning of a statute, we must presume that the General Assembly meant what it said and said what it meant. </w:t>
      </w:r>
      <w:bookmarkStart w:id="27" w:name="Bookmark_I6DWMFVD2HM6BK0020000400"/>
      <w:bookmarkEnd w:id="27"/>
      <w:r>
        <w:rPr>
          <w:rFonts w:ascii="arial" w:eastAsia="arial" w:hAnsi="arial" w:cs="arial"/>
          <w:b w:val="0"/>
          <w:i w:val="0"/>
          <w:strike w:val="0"/>
          <w:noProof w:val="0"/>
          <w:color w:val="000000"/>
          <w:position w:val="0"/>
          <w:sz w:val="20"/>
          <w:u w:val="none"/>
          <w:vertAlign w:val="baseline"/>
        </w:rPr>
        <w:t>To that end, we must afford the statutory text its plain and ordinary</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meaning, we must view the statutory text in the context in which it appears, and we must read the statutory text in its most natural and reasonable way, as an ordinary speaker of the English language would. If the statutory text is clear and unambiguous, we attribute to the statute its plain meaning[.]</w:t>
      </w:r>
    </w:p>
    <w:p>
      <w:pPr>
        <w:keepNext w:val="0"/>
        <w:spacing w:before="240" w:after="0" w:line="260" w:lineRule="atLeast"/>
        <w:ind w:left="0" w:right="0" w:firstLine="0"/>
        <w:jc w:val="both"/>
      </w:pPr>
      <w:bookmarkStart w:id="28" w:name="Bookmark_I6DWMFVD2HM6BK0020000400_2"/>
      <w:bookmarkEnd w:id="28"/>
      <w:bookmarkStart w:id="29" w:name="Bookmark_I6DWMFVD2HM6BK0010000400"/>
      <w:bookmarkEnd w:id="29"/>
      <w:hyperlink r:id="rId22" w:history="1">
        <w:r>
          <w:rPr>
            <w:rFonts w:ascii="arial" w:eastAsia="arial" w:hAnsi="arial" w:cs="arial"/>
            <w:b w:val="0"/>
            <w:i/>
            <w:strike w:val="0"/>
            <w:color w:val="0077CC"/>
            <w:sz w:val="20"/>
            <w:u w:val="single"/>
            <w:shd w:val="clear" w:color="auto" w:fill="FFFFFF"/>
            <w:vertAlign w:val="baseline"/>
          </w:rPr>
          <w:t>Grange Mut. Cas. Co. v. Woodard</w:t>
        </w:r>
      </w:hyperlink>
      <w:hyperlink r:id="rId23" w:history="1">
        <w:r>
          <w:rPr>
            <w:rFonts w:ascii="arial" w:eastAsia="arial" w:hAnsi="arial" w:cs="arial"/>
            <w:b w:val="0"/>
            <w:i/>
            <w:strike w:val="0"/>
            <w:color w:val="0077CC"/>
            <w:sz w:val="20"/>
            <w:u w:val="single"/>
            <w:shd w:val="clear" w:color="auto" w:fill="FFFFFF"/>
            <w:vertAlign w:val="baseline"/>
          </w:rPr>
          <w:t>, 300 Ga. 848, 852 (2) (a) (797 SE2d 814) (2017)</w:t>
        </w:r>
      </w:hyperlink>
      <w:r>
        <w:rPr>
          <w:rFonts w:ascii="arial" w:eastAsia="arial" w:hAnsi="arial" w:cs="arial"/>
          <w:b w:val="0"/>
          <w:i w:val="0"/>
          <w:strike w:val="0"/>
          <w:noProof w:val="0"/>
          <w:color w:val="000000"/>
          <w:position w:val="0"/>
          <w:sz w:val="20"/>
          <w:u w:val="none"/>
          <w:vertAlign w:val="baseline"/>
        </w:rPr>
        <w:t xml:space="preserve"> (quoting </w:t>
      </w:r>
      <w:bookmarkStart w:id="30" w:name="Bookmark_I6DWMFVD2HM6BK0030000400"/>
      <w:bookmarkEnd w:id="30"/>
      <w:hyperlink r:id="rId24" w:history="1">
        <w:r>
          <w:rPr>
            <w:rFonts w:ascii="arial" w:eastAsia="arial" w:hAnsi="arial" w:cs="arial"/>
            <w:b w:val="0"/>
            <w:i/>
            <w:strike w:val="0"/>
            <w:noProof w:val="0"/>
            <w:color w:val="0077CC"/>
            <w:position w:val="0"/>
            <w:sz w:val="20"/>
            <w:u w:val="single"/>
            <w:shd w:val="clear" w:color="auto" w:fill="FFFFFF"/>
            <w:vertAlign w:val="baseline"/>
          </w:rPr>
          <w:t>Deal v. Coleman</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294 Ga. 170, 172-173 (1) (a) (751 SE2d 337)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I6DWMFVF2N1PT00010000400"/>
      <w:bookmarkEnd w:id="31"/>
      <w:r>
        <w:rPr>
          <w:rFonts w:ascii="arial" w:eastAsia="arial" w:hAnsi="arial" w:cs="arial"/>
          <w:b w:val="0"/>
          <w:i w:val="0"/>
          <w:strike w:val="0"/>
          <w:noProof w:val="0"/>
          <w:color w:val="000000"/>
          <w:position w:val="0"/>
          <w:sz w:val="20"/>
          <w:u w:val="none"/>
          <w:vertAlign w:val="baseline"/>
        </w:rPr>
        <w:t xml:space="preserve">The definition of “final judgment” is clear and unambiguous on its face. </w:t>
      </w:r>
      <w:bookmarkStart w:id="32" w:name="Bookmark_LNHNREFclscc3"/>
      <w:bookmarkEnd w:id="32"/>
      <w:r>
        <w:rPr>
          <w:rFonts w:ascii="arial" w:eastAsia="arial" w:hAnsi="arial" w:cs="arial"/>
          <w:b w:val="0"/>
          <w:i w:val="0"/>
          <w:strike w:val="0"/>
          <w:noProof w:val="0"/>
          <w:color w:val="000000"/>
          <w:position w:val="0"/>
          <w:sz w:val="20"/>
          <w:u w:val="none"/>
          <w:vertAlign w:val="baseline"/>
        </w:rPr>
        <w:t>It merely requires a court to determine whether “the case is</w:t>
      </w:r>
      <w:r>
        <w:rPr>
          <w:rFonts w:ascii="arial" w:eastAsia="arial" w:hAnsi="arial" w:cs="arial"/>
          <w:b w:val="0"/>
          <w:i w:val="0"/>
          <w:strike w:val="0"/>
          <w:noProof w:val="0"/>
          <w:color w:val="000000"/>
          <w:position w:val="0"/>
          <w:sz w:val="20"/>
          <w:u w:val="none"/>
          <w:vertAlign w:val="baseline"/>
        </w:rPr>
        <w:t> [*570] </w:t>
      </w:r>
      <w:r>
        <w:rPr>
          <w:rFonts w:ascii="arial" w:eastAsia="arial" w:hAnsi="arial" w:cs="arial"/>
          <w:b w:val="0"/>
          <w:i w:val="0"/>
          <w:strike w:val="0"/>
          <w:noProof w:val="0"/>
          <w:color w:val="000000"/>
          <w:position w:val="0"/>
          <w:sz w:val="20"/>
          <w:u w:val="none"/>
          <w:vertAlign w:val="baseline"/>
        </w:rPr>
        <w:t xml:space="preserve"> no longer pending in the court below.” It stands to reason that a case that is dismissed is no longer pending below. The Court of Appeals concluded wrongly here that the dismissed case was still pending based on the pendency of the renewal action.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Although the renewed case and the dismissed case are connected in some ways, they are not the same.</w:t>
      </w:r>
    </w:p>
    <w:p>
      <w:pPr>
        <w:keepNext w:val="0"/>
        <w:spacing w:before="200" w:after="0" w:line="260" w:lineRule="atLeast"/>
        <w:ind w:left="0" w:right="0" w:firstLine="0"/>
        <w:jc w:val="both"/>
      </w:pPr>
      <w:bookmarkStart w:id="35" w:name="Bookmark_I6DWMFVF2N1PT00030000400"/>
      <w:bookmarkEnd w:id="35"/>
      <w:bookmarkStart w:id="36" w:name="Bookmark_LNHNREFclscc4"/>
      <w:bookmarkEnd w:id="36"/>
      <w:r>
        <w:rPr>
          <w:rFonts w:ascii="arial" w:eastAsia="arial" w:hAnsi="arial" w:cs="arial"/>
          <w:b w:val="0"/>
          <w:i w:val="0"/>
          <w:strike w:val="0"/>
          <w:noProof w:val="0"/>
          <w:color w:val="000000"/>
          <w:position w:val="0"/>
          <w:sz w:val="20"/>
          <w:u w:val="none"/>
          <w:vertAlign w:val="baseline"/>
        </w:rPr>
        <w:t xml:space="preserve">It is firmly established that a renewal action is an action de novo. </w:t>
      </w:r>
      <w:bookmarkStart w:id="37" w:name="Bookmark_I6DWMFVG28T4VJ0020000400"/>
      <w:bookmarkEnd w:id="37"/>
      <w:r>
        <w:rPr>
          <w:rFonts w:ascii="arial" w:eastAsia="arial" w:hAnsi="arial" w:cs="arial"/>
          <w:b w:val="0"/>
          <w:i w:val="0"/>
          <w:strike w:val="0"/>
          <w:noProof w:val="0"/>
          <w:color w:val="000000"/>
          <w:position w:val="0"/>
          <w:sz w:val="20"/>
          <w:u w:val="none"/>
          <w:vertAlign w:val="baseline"/>
        </w:rPr>
        <w:t xml:space="preserve">See, e.g., </w:t>
      </w:r>
      <w:bookmarkStart w:id="38" w:name="Bookmark_I6DWMFVF2N1PT00020000400"/>
      <w:bookmarkEnd w:id="38"/>
      <w:hyperlink r:id="rId26" w:history="1">
        <w:r>
          <w:rPr>
            <w:rFonts w:ascii="arial" w:eastAsia="arial" w:hAnsi="arial" w:cs="arial"/>
            <w:b w:val="0"/>
            <w:i/>
            <w:strike w:val="0"/>
            <w:noProof w:val="0"/>
            <w:color w:val="0077CC"/>
            <w:position w:val="0"/>
            <w:sz w:val="20"/>
            <w:u w:val="single"/>
            <w:shd w:val="clear" w:color="auto" w:fill="FFFFFF"/>
            <w:vertAlign w:val="baseline"/>
          </w:rPr>
          <w:t>Robinson v. Boyd</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288 Ga. 53, 56 (2) (701 SE2d 165) (2010)</w:t>
        </w:r>
      </w:hyperlink>
      <w:r>
        <w:rPr>
          <w:rFonts w:ascii="arial" w:eastAsia="arial" w:hAnsi="arial" w:cs="arial"/>
          <w:b w:val="0"/>
          <w:i w:val="0"/>
          <w:strike w:val="0"/>
          <w:noProof w:val="0"/>
          <w:color w:val="000000"/>
          <w:position w:val="0"/>
          <w:sz w:val="20"/>
          <w:u w:val="none"/>
          <w:vertAlign w:val="baseline"/>
        </w:rPr>
        <w:t xml:space="preserve">; </w:t>
      </w:r>
      <w:bookmarkStart w:id="39" w:name="Bookmark_I6DWMFVF2N1PT00040000400"/>
      <w:bookmarkEnd w:id="39"/>
      <w:hyperlink r:id="rId28" w:history="1">
        <w:r>
          <w:rPr>
            <w:rFonts w:ascii="arial" w:eastAsia="arial" w:hAnsi="arial" w:cs="arial"/>
            <w:b w:val="0"/>
            <w:i/>
            <w:strike w:val="0"/>
            <w:noProof w:val="0"/>
            <w:color w:val="0077CC"/>
            <w:position w:val="0"/>
            <w:sz w:val="20"/>
            <w:u w:val="single"/>
            <w:shd w:val="clear" w:color="auto" w:fill="FFFFFF"/>
            <w:vertAlign w:val="baseline"/>
          </w:rPr>
          <w:t>Hobbs v. Arthur</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264 Ga. 359, 360 (444 SE2d 322) (1994)</w:t>
        </w:r>
      </w:hyperlink>
      <w:r>
        <w:rPr>
          <w:rFonts w:ascii="arial" w:eastAsia="arial" w:hAnsi="arial" w:cs="arial"/>
          <w:b w:val="0"/>
          <w:i w:val="0"/>
          <w:strike w:val="0"/>
          <w:noProof w:val="0"/>
          <w:color w:val="000000"/>
          <w:position w:val="0"/>
          <w:sz w:val="20"/>
          <w:u w:val="none"/>
          <w:vertAlign w:val="baseline"/>
        </w:rPr>
        <w:t xml:space="preserve">. This means that a renewal action is a new case and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 continuance of the original, dismissed action. </w:t>
      </w:r>
      <w:bookmarkStart w:id="40" w:name="Bookmark_I6DWMFVG28T4VJ0020000400_2"/>
      <w:bookmarkEnd w:id="40"/>
      <w:r>
        <w:rPr>
          <w:rFonts w:ascii="arial" w:eastAsia="arial" w:hAnsi="arial" w:cs="arial"/>
          <w:b w:val="0"/>
          <w:i w:val="0"/>
          <w:strike w:val="0"/>
          <w:noProof w:val="0"/>
          <w:color w:val="000000"/>
          <w:position w:val="0"/>
          <w:sz w:val="20"/>
          <w:u w:val="none"/>
          <w:vertAlign w:val="baseline"/>
        </w:rPr>
        <w:t xml:space="preserve">See </w:t>
      </w:r>
      <w:bookmarkStart w:id="41" w:name="Bookmark_I6DWMFVG28T4VJ0010000400"/>
      <w:bookmarkEnd w:id="41"/>
      <w:hyperlink r:id="rId30" w:history="1">
        <w:r>
          <w:rPr>
            <w:rFonts w:ascii="arial" w:eastAsia="arial" w:hAnsi="arial" w:cs="arial"/>
            <w:b w:val="0"/>
            <w:i/>
            <w:strike w:val="0"/>
            <w:noProof w:val="0"/>
            <w:color w:val="0077CC"/>
            <w:position w:val="0"/>
            <w:sz w:val="20"/>
            <w:u w:val="single"/>
            <w:shd w:val="clear" w:color="auto" w:fill="FFFFFF"/>
            <w:vertAlign w:val="baseline"/>
          </w:rPr>
          <w:t>SunTrust Bank v. Lilliston</w:t>
        </w:r>
      </w:hyperlink>
      <w:hyperlink r:id="rId31" w:history="1">
        <w:r>
          <w:rPr>
            <w:rFonts w:ascii="arial" w:eastAsia="arial" w:hAnsi="arial" w:cs="arial"/>
            <w:b w:val="0"/>
            <w:i/>
            <w:strike w:val="0"/>
            <w:noProof w:val="0"/>
            <w:color w:val="0077CC"/>
            <w:position w:val="0"/>
            <w:sz w:val="20"/>
            <w:u w:val="single"/>
            <w:shd w:val="clear" w:color="auto" w:fill="FFFFFF"/>
            <w:vertAlign w:val="baseline"/>
          </w:rPr>
          <w:t>, 302 Ga. 840, 843 (809 SE2d 819) (2018)</w:t>
        </w:r>
      </w:hyperlink>
      <w:r>
        <w:rPr>
          <w:rFonts w:ascii="arial" w:eastAsia="arial" w:hAnsi="arial" w:cs="arial"/>
          <w:b w:val="0"/>
          <w:i w:val="0"/>
          <w:strike w:val="0"/>
          <w:noProof w:val="0"/>
          <w:color w:val="000000"/>
          <w:position w:val="0"/>
          <w:sz w:val="20"/>
          <w:u w:val="none"/>
          <w:vertAlign w:val="baseline"/>
        </w:rPr>
        <w:t xml:space="preserve"> (“It is well settled that the ‘recommenced’ case envisioned by [</w:t>
      </w:r>
      <w:hyperlink r:id="rId32" w:history="1">
        <w:r>
          <w:rPr>
            <w:rFonts w:ascii="arial" w:eastAsia="arial" w:hAnsi="arial" w:cs="arial"/>
            <w:b w:val="0"/>
            <w:i/>
            <w:strike w:val="0"/>
            <w:noProof w:val="0"/>
            <w:color w:val="0077CC"/>
            <w:position w:val="0"/>
            <w:sz w:val="20"/>
            <w:u w:val="single"/>
            <w:shd w:val="clear" w:color="auto" w:fill="FFFFFF"/>
            <w:vertAlign w:val="baseline"/>
          </w:rPr>
          <w:t>OCGA § 9-2-61 (a)</w:t>
        </w:r>
      </w:hyperlink>
      <w:r>
        <w:rPr>
          <w:rFonts w:ascii="arial" w:eastAsia="arial" w:hAnsi="arial" w:cs="arial"/>
          <w:b w:val="0"/>
          <w:i w:val="0"/>
          <w:strike w:val="0"/>
          <w:noProof w:val="0"/>
          <w:color w:val="000000"/>
          <w:position w:val="0"/>
          <w:sz w:val="20"/>
          <w:u w:val="none"/>
          <w:vertAlign w:val="baseline"/>
        </w:rPr>
        <w:t xml:space="preserve">] is an action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and is not a continuance of the original action.” (citations and punctuation omitted)); </w:t>
      </w:r>
      <w:bookmarkStart w:id="42" w:name="Bookmark_I6DWMFVG28T4VJ0030000400"/>
      <w:bookmarkEnd w:id="42"/>
      <w:hyperlink r:id="rId33" w:history="1">
        <w:r>
          <w:rPr>
            <w:rFonts w:ascii="arial" w:eastAsia="arial" w:hAnsi="arial" w:cs="arial"/>
            <w:b w:val="0"/>
            <w:i/>
            <w:strike w:val="0"/>
            <w:noProof w:val="0"/>
            <w:color w:val="0077CC"/>
            <w:position w:val="0"/>
            <w:sz w:val="20"/>
            <w:u w:val="single"/>
            <w:shd w:val="clear" w:color="auto" w:fill="FFFFFF"/>
            <w:vertAlign w:val="baseline"/>
          </w:rPr>
          <w:t>Cox v. Strickland</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120 Ga. 104, 109 (47 SE 912) (1904)</w:t>
        </w:r>
      </w:hyperlink>
      <w:r>
        <w:rPr>
          <w:rFonts w:ascii="arial" w:eastAsia="arial" w:hAnsi="arial" w:cs="arial"/>
          <w:b w:val="0"/>
          <w:i w:val="0"/>
          <w:strike w:val="0"/>
          <w:noProof w:val="0"/>
          <w:color w:val="000000"/>
          <w:position w:val="0"/>
          <w:sz w:val="20"/>
          <w:u w:val="none"/>
          <w:vertAlign w:val="baseline"/>
        </w:rPr>
        <w:t xml:space="preserve"> (noting that the predecessor to </w:t>
      </w:r>
      <w:hyperlink r:id="rId35" w:history="1">
        <w:r>
          <w:rPr>
            <w:rFonts w:ascii="arial" w:eastAsia="arial" w:hAnsi="arial" w:cs="arial"/>
            <w:b w:val="0"/>
            <w:i/>
            <w:strike w:val="0"/>
            <w:noProof w:val="0"/>
            <w:color w:val="0077CC"/>
            <w:position w:val="0"/>
            <w:sz w:val="20"/>
            <w:u w:val="single"/>
            <w:shd w:val="clear" w:color="auto" w:fill="FFFFFF"/>
            <w:vertAlign w:val="baseline"/>
          </w:rPr>
          <w:t>OCGA § 9-2-61</w:t>
        </w:r>
      </w:hyperlink>
      <w:r>
        <w:rPr>
          <w:rFonts w:ascii="arial" w:eastAsia="arial" w:hAnsi="arial" w:cs="arial"/>
          <w:b w:val="0"/>
          <w:i w:val="0"/>
          <w:strike w:val="0"/>
          <w:noProof w:val="0"/>
          <w:color w:val="000000"/>
          <w:position w:val="0"/>
          <w:sz w:val="20"/>
          <w:u w:val="none"/>
          <w:vertAlign w:val="baseline"/>
        </w:rPr>
        <w:t xml:space="preserve"> did “not contemplate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 revival or continuance of the original suit … but that, the first having been discontinued, dismissed, or nonsuited, a new and distinct suit may be brought”); see also </w:t>
      </w:r>
      <w:bookmarkStart w:id="43" w:name="Bookmark_I6DWMFVG28T4VJ0050000400"/>
      <w:bookmarkEnd w:id="43"/>
      <w:hyperlink r:id="rId36" w:history="1">
        <w:r>
          <w:rPr>
            <w:rFonts w:ascii="arial" w:eastAsia="arial" w:hAnsi="arial" w:cs="arial"/>
            <w:b w:val="0"/>
            <w:i/>
            <w:strike w:val="0"/>
            <w:noProof w:val="0"/>
            <w:color w:val="0077CC"/>
            <w:position w:val="0"/>
            <w:sz w:val="20"/>
            <w:u w:val="single"/>
            <w:shd w:val="clear" w:color="auto" w:fill="FFFFFF"/>
            <w:vertAlign w:val="baseline"/>
          </w:rPr>
          <w:t>Carr v. Yim</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369 Ga. App. 389, 395 (893 SE2d 801) (2023)</w:t>
        </w:r>
      </w:hyperlink>
      <w:r>
        <w:rPr>
          <w:rFonts w:ascii="arial" w:eastAsia="arial" w:hAnsi="arial" w:cs="arial"/>
          <w:b w:val="0"/>
          <w:i w:val="0"/>
          <w:strike w:val="0"/>
          <w:noProof w:val="0"/>
          <w:color w:val="000000"/>
          <w:position w:val="0"/>
          <w:sz w:val="20"/>
          <w:u w:val="none"/>
          <w:vertAlign w:val="baseline"/>
        </w:rPr>
        <w:t xml:space="preserve"> (“[A] renewal action is a new action[.]”); </w:t>
      </w:r>
      <w:bookmarkStart w:id="44" w:name="Bookmark_I6DWMFVG2SF7TB0020000400"/>
      <w:bookmarkEnd w:id="44"/>
      <w:hyperlink r:id="rId38" w:history="1">
        <w:r>
          <w:rPr>
            <w:rFonts w:ascii="arial" w:eastAsia="arial" w:hAnsi="arial" w:cs="arial"/>
            <w:b w:val="0"/>
            <w:i/>
            <w:strike w:val="0"/>
            <w:noProof w:val="0"/>
            <w:color w:val="0077CC"/>
            <w:position w:val="0"/>
            <w:sz w:val="20"/>
            <w:u w:val="single"/>
            <w:shd w:val="clear" w:color="auto" w:fill="FFFFFF"/>
            <w:vertAlign w:val="baseline"/>
          </w:rPr>
          <w:t>Archie v. Scott</w:t>
        </w:r>
      </w:hyperlink>
      <w:hyperlink r:id="rId39" w:history="1">
        <w:r>
          <w:rPr>
            <w:rFonts w:ascii="arial" w:eastAsia="arial" w:hAnsi="arial" w:cs="arial"/>
            <w:b w:val="0"/>
            <w:i/>
            <w:strike w:val="0"/>
            <w:noProof w:val="0"/>
            <w:color w:val="0077CC"/>
            <w:position w:val="0"/>
            <w:sz w:val="20"/>
            <w:u w:val="single"/>
            <w:shd w:val="clear" w:color="auto" w:fill="FFFFFF"/>
            <w:vertAlign w:val="baseline"/>
          </w:rPr>
          <w:t>, 190 Ga. App. 145, 146 (2) (378 SE2d 182) (1989)</w:t>
        </w:r>
      </w:hyperlink>
      <w:r>
        <w:rPr>
          <w:rFonts w:ascii="arial" w:eastAsia="arial" w:hAnsi="arial" w:cs="arial"/>
          <w:b w:val="0"/>
          <w:i w:val="0"/>
          <w:strike w:val="0"/>
          <w:noProof w:val="0"/>
          <w:color w:val="000000"/>
          <w:position w:val="0"/>
          <w:sz w:val="20"/>
          <w:u w:val="none"/>
          <w:vertAlign w:val="baseline"/>
        </w:rPr>
        <w:t xml:space="preserve"> (“It is clear … that an action renewed pursuant to </w:t>
      </w:r>
      <w:hyperlink r:id="rId40" w:history="1">
        <w:r>
          <w:rPr>
            <w:rFonts w:ascii="arial" w:eastAsia="arial" w:hAnsi="arial" w:cs="arial"/>
            <w:b w:val="0"/>
            <w:i/>
            <w:strike w:val="0"/>
            <w:noProof w:val="0"/>
            <w:color w:val="0077CC"/>
            <w:position w:val="0"/>
            <w:sz w:val="20"/>
            <w:u w:val="single"/>
            <w:shd w:val="clear" w:color="auto" w:fill="FFFFFF"/>
            <w:vertAlign w:val="baseline"/>
          </w:rPr>
          <w:t>OCGA § 9-2-61 (a)</w:t>
        </w:r>
      </w:hyperlink>
      <w:r>
        <w:rPr>
          <w:rFonts w:ascii="arial" w:eastAsia="arial" w:hAnsi="arial" w:cs="arial"/>
          <w:b w:val="0"/>
          <w:i w:val="0"/>
          <w:strike w:val="0"/>
          <w:noProof w:val="0"/>
          <w:color w:val="000000"/>
          <w:position w:val="0"/>
          <w:sz w:val="20"/>
          <w:u w:val="none"/>
          <w:vertAlign w:val="baseline"/>
        </w:rPr>
        <w:t xml:space="preserve"> is an action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not a continuance of the original action.” (citation and punctuation omitted)). The Defendants make several arguments, but none of them grapple with this longstanding precedent that a renewal action is not a continuance of the dismissed case.</w:t>
      </w:r>
    </w:p>
    <w:p>
      <w:pPr>
        <w:keepNext w:val="0"/>
        <w:spacing w:before="240" w:after="0" w:line="260" w:lineRule="atLeast"/>
        <w:ind w:left="0" w:right="0" w:firstLine="0"/>
        <w:jc w:val="both"/>
      </w:pPr>
      <w:bookmarkStart w:id="45" w:name="Bookmark_I6DWMFVG2SF7TB0050000400"/>
      <w:bookmarkEnd w:id="45"/>
      <w:r>
        <w:rPr>
          <w:rFonts w:ascii="arial" w:eastAsia="arial" w:hAnsi="arial" w:cs="arial"/>
          <w:b w:val="0"/>
          <w:i w:val="0"/>
          <w:strike w:val="0"/>
          <w:noProof w:val="0"/>
          <w:color w:val="000000"/>
          <w:position w:val="0"/>
          <w:sz w:val="20"/>
          <w:u w:val="none"/>
          <w:vertAlign w:val="baseline"/>
        </w:rPr>
        <w:t xml:space="preserve">The Defendants first suggest that because </w:t>
      </w:r>
      <w:hyperlink r:id="rId41" w:history="1">
        <w:r>
          <w:rPr>
            <w:rFonts w:ascii="arial" w:eastAsia="arial" w:hAnsi="arial" w:cs="arial"/>
            <w:b w:val="0"/>
            <w:i/>
            <w:strike w:val="0"/>
            <w:noProof w:val="0"/>
            <w:color w:val="0077CC"/>
            <w:position w:val="0"/>
            <w:sz w:val="20"/>
            <w:u w:val="single"/>
            <w:shd w:val="clear" w:color="auto" w:fill="FFFFFF"/>
            <w:vertAlign w:val="baseline"/>
          </w:rPr>
          <w:t>OCGA § 9-15-14 (e)</w:t>
        </w:r>
      </w:hyperlink>
      <w:r>
        <w:rPr>
          <w:rFonts w:ascii="arial" w:eastAsia="arial" w:hAnsi="arial" w:cs="arial"/>
          <w:b w:val="0"/>
          <w:i w:val="0"/>
          <w:strike w:val="0"/>
          <w:noProof w:val="0"/>
          <w:color w:val="000000"/>
          <w:position w:val="0"/>
          <w:sz w:val="20"/>
          <w:u w:val="none"/>
          <w:vertAlign w:val="baseline"/>
        </w:rPr>
        <w:t xml:space="preserve"> provides that a motion for attorneys' fees can be filed up to 45 days after the “final disposition of the action” — a phrase that has been interpreted synonymously with the phrase “final judgment” under </w:t>
      </w:r>
      <w:r>
        <w:rPr>
          <w:rFonts w:ascii="arial" w:eastAsia="arial" w:hAnsi="arial" w:cs="arial"/>
          <w:b w:val="0"/>
          <w:i/>
          <w:strike w:val="0"/>
          <w:noProof w:val="0"/>
          <w:color w:val="000000"/>
          <w:position w:val="0"/>
          <w:sz w:val="20"/>
          <w:u w:val="none"/>
          <w:vertAlign w:val="baseline"/>
        </w:rPr>
        <w:t>OCGA § 5-6-34 (a) (1)</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 the case remained pending below once the Defendants filed such a motion following the Plaintiffs' voluntary dismissal. But even if that is true, this argument offers no reason why the resolution of that motion is not itself a final judgment for purposes of </w:t>
      </w:r>
      <w:r>
        <w:rPr>
          <w:rFonts w:ascii="arial" w:eastAsia="arial" w:hAnsi="arial" w:cs="arial"/>
          <w:b w:val="0"/>
          <w:i/>
          <w:strike w:val="0"/>
          <w:noProof w:val="0"/>
          <w:color w:val="000000"/>
          <w:position w:val="0"/>
          <w:sz w:val="20"/>
          <w:u w:val="none"/>
          <w:vertAlign w:val="baseline"/>
        </w:rPr>
        <w:t>OCGA § 5-6-34 (a) (1)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II08F5YG9NHK003RWNRY00K7M"/>
      <w:bookmarkEnd w:id="49"/>
      <w:bookmarkStart w:id="50" w:name="Bookmark_I6DWMFVH2SF7TC0040000400"/>
      <w:bookmarkEnd w:id="50"/>
      <w:bookmarkStart w:id="51" w:name="Bookmark_I6DWMFVH28T4VR0010000400"/>
      <w:bookmarkEnd w:id="51"/>
      <w:r>
        <w:rPr>
          <w:rFonts w:ascii="arial" w:eastAsia="arial" w:hAnsi="arial" w:cs="arial"/>
          <w:b w:val="0"/>
          <w:i w:val="0"/>
          <w:strike w:val="0"/>
          <w:noProof w:val="0"/>
          <w:color w:val="000000"/>
          <w:position w:val="0"/>
          <w:sz w:val="20"/>
          <w:u w:val="none"/>
          <w:vertAlign w:val="baseline"/>
        </w:rPr>
        <w:t> [*571] </w:t>
      </w:r>
      <w:r>
        <w:rPr>
          <w:rFonts w:ascii="arial" w:eastAsia="arial" w:hAnsi="arial" w:cs="arial"/>
          <w:b w:val="0"/>
          <w:i w:val="0"/>
          <w:strike w:val="0"/>
          <w:noProof w:val="0"/>
          <w:color w:val="000000"/>
          <w:position w:val="0"/>
          <w:sz w:val="20"/>
          <w:u w:val="none"/>
          <w:vertAlign w:val="baseline"/>
        </w:rPr>
        <w:t xml:space="preserve"> The Defendants next argue that the Court of Appeals's decision here is consistent with </w:t>
      </w:r>
      <w:bookmarkStart w:id="52" w:name="Bookmark_I6DWMFVH2SF7TC0030000400"/>
      <w:bookmarkEnd w:id="52"/>
      <w:hyperlink r:id="rId42" w:history="1">
        <w:r>
          <w:rPr>
            <w:rFonts w:ascii="arial" w:eastAsia="arial" w:hAnsi="arial" w:cs="arial"/>
            <w:b w:val="0"/>
            <w:i/>
            <w:strike w:val="0"/>
            <w:noProof w:val="0"/>
            <w:color w:val="0077CC"/>
            <w:position w:val="0"/>
            <w:sz w:val="20"/>
            <w:u w:val="single"/>
            <w:shd w:val="clear" w:color="auto" w:fill="FFFFFF"/>
            <w:vertAlign w:val="baseline"/>
          </w:rPr>
          <w:t>Meister v. Brock</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268 Ga. App. 849 (602 SE2d 867) (2004)</w:t>
        </w:r>
      </w:hyperlink>
      <w:r>
        <w:rPr>
          <w:rFonts w:ascii="arial" w:eastAsia="arial" w:hAnsi="arial" w:cs="arial"/>
          <w:b w:val="0"/>
          <w:i w:val="0"/>
          <w:strike w:val="0"/>
          <w:noProof w:val="0"/>
          <w:color w:val="000000"/>
          <w:position w:val="0"/>
          <w:sz w:val="20"/>
          <w:u w:val="none"/>
          <w:vertAlign w:val="baseline"/>
        </w:rPr>
        <w:t xml:space="preserve">. </w:t>
      </w:r>
      <w:bookmarkStart w:id="53" w:name="Bookmark_I6DWMFVH2HM6C20020000400"/>
      <w:bookmarkEnd w:id="53"/>
      <w:r>
        <w:rPr>
          <w:rFonts w:ascii="arial" w:eastAsia="arial" w:hAnsi="arial" w:cs="arial"/>
          <w:b w:val="0"/>
          <w:i w:val="0"/>
          <w:strike w:val="0"/>
          <w:noProof w:val="0"/>
          <w:color w:val="000000"/>
          <w:position w:val="0"/>
          <w:sz w:val="20"/>
          <w:u w:val="none"/>
          <w:vertAlign w:val="baseline"/>
        </w:rPr>
        <w:t xml:space="preserve">But that case does not apply. In </w:t>
      </w:r>
      <w:bookmarkStart w:id="54" w:name="Bookmark_I6DWMFVH2HM6C20020000400_2"/>
      <w:bookmarkEnd w:id="54"/>
      <w:bookmarkStart w:id="55" w:name="Bookmark_I6DWMFVH28T4VR0010000400_2"/>
      <w:bookmarkEnd w:id="55"/>
      <w:bookmarkStart w:id="56" w:name="Bookmark_I6DWMFVH2SF7TC0040000400_2"/>
      <w:bookmarkEnd w:id="56"/>
      <w:bookmarkStart w:id="57" w:name="Bookmark_I6DWMFVH2SF7TC0050000400"/>
      <w:bookmarkEnd w:id="57"/>
      <w:hyperlink r:id="rId44" w:history="1">
        <w:r>
          <w:rPr>
            <w:rFonts w:ascii="arial" w:eastAsia="arial" w:hAnsi="arial" w:cs="arial"/>
            <w:b w:val="0"/>
            <w:i/>
            <w:strike w:val="0"/>
            <w:noProof w:val="0"/>
            <w:color w:val="0077CC"/>
            <w:position w:val="0"/>
            <w:sz w:val="20"/>
            <w:u w:val="single"/>
            <w:shd w:val="clear" w:color="auto" w:fill="FFFFFF"/>
            <w:vertAlign w:val="baseline"/>
          </w:rPr>
          <w:t>Meister</w:t>
        </w:r>
      </w:hyperlink>
      <w:bookmarkStart w:id="58" w:name="Bookmark_I6DWMFVH28T4VR0050000400"/>
      <w:bookmarkEnd w:id="58"/>
      <w:bookmarkStart w:id="59" w:name="Bookmark_I6DWMFVH2HM6C20020000400_3"/>
      <w:bookmarkEnd w:id="59"/>
      <w:r>
        <w:rPr>
          <w:rFonts w:ascii="arial" w:eastAsia="arial" w:hAnsi="arial" w:cs="arial"/>
          <w:b w:val="0"/>
          <w:i w:val="0"/>
          <w:strike w:val="0"/>
          <w:noProof w:val="0"/>
          <w:color w:val="000000"/>
          <w:position w:val="0"/>
          <w:sz w:val="20"/>
          <w:u w:val="none"/>
          <w:vertAlign w:val="baseline"/>
        </w:rPr>
        <w:t>, the Court of Appeals considered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whether the plaintiff's </w:t>
      </w:r>
      <w:hyperlink r:id="rId45" w:history="1">
        <w:r>
          <w:rPr>
            <w:rFonts w:ascii="arial" w:eastAsia="arial" w:hAnsi="arial" w:cs="arial"/>
            <w:b w:val="0"/>
            <w:i/>
            <w:strike w:val="0"/>
            <w:noProof w:val="0"/>
            <w:color w:val="0077CC"/>
            <w:position w:val="0"/>
            <w:sz w:val="20"/>
            <w:u w:val="single"/>
            <w:shd w:val="clear" w:color="auto" w:fill="FFFFFF"/>
            <w:vertAlign w:val="baseline"/>
          </w:rPr>
          <w:t>OCGA § 9-15-14</w:t>
        </w:r>
      </w:hyperlink>
      <w:r>
        <w:rPr>
          <w:rFonts w:ascii="arial" w:eastAsia="arial" w:hAnsi="arial" w:cs="arial"/>
          <w:b w:val="0"/>
          <w:i w:val="0"/>
          <w:strike w:val="0"/>
          <w:noProof w:val="0"/>
          <w:color w:val="000000"/>
          <w:position w:val="0"/>
          <w:sz w:val="20"/>
          <w:u w:val="none"/>
          <w:vertAlign w:val="baseline"/>
        </w:rPr>
        <w:t xml:space="preserve"> motion (filed in response to the defendants' </w:t>
      </w:r>
      <w:hyperlink r:id="rId46" w:history="1">
        <w:r>
          <w:rPr>
            <w:rFonts w:ascii="arial" w:eastAsia="arial" w:hAnsi="arial" w:cs="arial"/>
            <w:b w:val="0"/>
            <w:i/>
            <w:strike w:val="0"/>
            <w:noProof w:val="0"/>
            <w:color w:val="0077CC"/>
            <w:position w:val="0"/>
            <w:sz w:val="20"/>
            <w:u w:val="single"/>
            <w:shd w:val="clear" w:color="auto" w:fill="FFFFFF"/>
            <w:vertAlign w:val="baseline"/>
          </w:rPr>
          <w:t>OCGA § 9-15-14</w:t>
        </w:r>
      </w:hyperlink>
      <w:r>
        <w:rPr>
          <w:rFonts w:ascii="arial" w:eastAsia="arial" w:hAnsi="arial" w:cs="arial"/>
          <w:b w:val="0"/>
          <w:i w:val="0"/>
          <w:strike w:val="0"/>
          <w:noProof w:val="0"/>
          <w:color w:val="000000"/>
          <w:position w:val="0"/>
          <w:sz w:val="20"/>
          <w:u w:val="none"/>
          <w:vertAlign w:val="baseline"/>
        </w:rPr>
        <w:t xml:space="preserve"> motion) was filed within 45 days of a “final disposition” when more than 45 days had elapsed since the plaintiff's voluntary dismissal.</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bookmarkStart w:id="62" w:name="Bookmark_I6DWMFVH28T4VR0020000400"/>
      <w:bookmarkEnd w:id="62"/>
      <w:hyperlink r:id="rId47" w:history="1">
        <w:r>
          <w:rPr>
            <w:rFonts w:ascii="arial" w:eastAsia="arial" w:hAnsi="arial" w:cs="arial"/>
            <w:b w:val="0"/>
            <w:i/>
            <w:strike w:val="0"/>
            <w:noProof w:val="0"/>
            <w:color w:val="0077CC"/>
            <w:position w:val="0"/>
            <w:sz w:val="20"/>
            <w:u w:val="single"/>
            <w:shd w:val="clear" w:color="auto" w:fill="FFFFFF"/>
            <w:vertAlign w:val="baseline"/>
          </w:rPr>
          <w:t>268 Ga. App. at 849 (1)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[**566] </w:t>
      </w:r>
      <w:r>
        <w:rPr>
          <w:rFonts w:ascii="arial" w:eastAsia="arial" w:hAnsi="arial" w:cs="arial"/>
          <w:b w:val="0"/>
          <w:i w:val="0"/>
          <w:strike w:val="0"/>
          <w:noProof w:val="0"/>
          <w:color w:val="000000"/>
          <w:position w:val="0"/>
          <w:sz w:val="20"/>
          <w:u w:val="none"/>
          <w:vertAlign w:val="baseline"/>
        </w:rPr>
        <w:t xml:space="preserve"> The Court of Appeals's conclusion that the plaintiff's </w:t>
      </w:r>
      <w:hyperlink r:id="rId48" w:history="1">
        <w:r>
          <w:rPr>
            <w:rFonts w:ascii="arial" w:eastAsia="arial" w:hAnsi="arial" w:cs="arial"/>
            <w:b w:val="0"/>
            <w:i/>
            <w:strike w:val="0"/>
            <w:noProof w:val="0"/>
            <w:color w:val="0077CC"/>
            <w:position w:val="0"/>
            <w:sz w:val="20"/>
            <w:u w:val="single"/>
            <w:shd w:val="clear" w:color="auto" w:fill="FFFFFF"/>
            <w:vertAlign w:val="baseline"/>
          </w:rPr>
          <w:t>OCGA § 9-15-14</w:t>
        </w:r>
      </w:hyperlink>
      <w:r>
        <w:rPr>
          <w:rFonts w:ascii="arial" w:eastAsia="arial" w:hAnsi="arial" w:cs="arial"/>
          <w:b w:val="0"/>
          <w:i w:val="0"/>
          <w:strike w:val="0"/>
          <w:noProof w:val="0"/>
          <w:color w:val="000000"/>
          <w:position w:val="0"/>
          <w:sz w:val="20"/>
          <w:u w:val="none"/>
          <w:vertAlign w:val="baseline"/>
        </w:rPr>
        <w:t xml:space="preserve"> motion was timely in that case is not determinative of whether the fee award here is a final judgment under </w:t>
      </w:r>
      <w:r>
        <w:rPr>
          <w:rFonts w:ascii="arial" w:eastAsia="arial" w:hAnsi="arial" w:cs="arial"/>
          <w:b w:val="0"/>
          <w:i/>
          <w:strike w:val="0"/>
          <w:noProof w:val="0"/>
          <w:color w:val="000000"/>
          <w:position w:val="0"/>
          <w:sz w:val="20"/>
          <w:u w:val="none"/>
          <w:vertAlign w:val="baseline"/>
        </w:rPr>
        <w:t>OCGA § 5-6-34 (a) (1)</w:t>
      </w:r>
      <w:r>
        <w:rPr>
          <w:rFonts w:ascii="arial" w:eastAsia="arial" w:hAnsi="arial" w:cs="arial"/>
          <w:b w:val="0"/>
          <w:i w:val="0"/>
          <w:strike w:val="0"/>
          <w:noProof w:val="0"/>
          <w:color w:val="000000"/>
          <w:position w:val="0"/>
          <w:sz w:val="20"/>
          <w:u w:val="none"/>
          <w:vertAlign w:val="baseline"/>
        </w:rPr>
        <w:t xml:space="preserve">. </w:t>
      </w:r>
      <w:bookmarkStart w:id="63" w:name="Bookmark_LNHNREFclscc5"/>
      <w:bookmarkEnd w:id="63"/>
      <w:r>
        <w:rPr>
          <w:rFonts w:ascii="arial" w:eastAsia="arial" w:hAnsi="arial" w:cs="arial"/>
          <w:b w:val="0"/>
          <w:i w:val="0"/>
          <w:strike w:val="0"/>
          <w:noProof w:val="0"/>
          <w:color w:val="000000"/>
          <w:position w:val="0"/>
          <w:sz w:val="20"/>
          <w:u w:val="none"/>
          <w:vertAlign w:val="baseline"/>
        </w:rPr>
        <w:t xml:space="preserve">Indeed, as the Court of Appeals observed, a voluntary dismissal is not a final judgment under </w:t>
      </w:r>
      <w:r>
        <w:rPr>
          <w:rFonts w:ascii="arial" w:eastAsia="arial" w:hAnsi="arial" w:cs="arial"/>
          <w:b w:val="0"/>
          <w:i/>
          <w:strike w:val="0"/>
          <w:noProof w:val="0"/>
          <w:color w:val="000000"/>
          <w:position w:val="0"/>
          <w:sz w:val="20"/>
          <w:u w:val="none"/>
          <w:vertAlign w:val="baseline"/>
        </w:rPr>
        <w:t>OCGA § 5-6-34 (a) (1)</w:t>
      </w:r>
      <w:r>
        <w:rPr>
          <w:rFonts w:ascii="arial" w:eastAsia="arial" w:hAnsi="arial" w:cs="arial"/>
          <w:b w:val="0"/>
          <w:i w:val="0"/>
          <w:strike w:val="0"/>
          <w:noProof w:val="0"/>
          <w:color w:val="000000"/>
          <w:position w:val="0"/>
          <w:sz w:val="20"/>
          <w:u w:val="none"/>
          <w:vertAlign w:val="baseline"/>
        </w:rPr>
        <w:t xml:space="preserve">, because that Code section applies only to “judgments and rulings” of certain courts and a voluntary dismissal is not such a judgment or order. </w:t>
      </w:r>
      <w:bookmarkStart w:id="64" w:name="Bookmark_I6DWMFVH28T4VR0040000400"/>
      <w:bookmarkEnd w:id="64"/>
      <w:hyperlink r:id="rId49" w:history="1">
        <w:r>
          <w:rPr>
            <w:rFonts w:ascii="arial" w:eastAsia="arial" w:hAnsi="arial" w:cs="arial"/>
            <w:b w:val="0"/>
            <w:i/>
            <w:strike w:val="0"/>
            <w:noProof w:val="0"/>
            <w:color w:val="0077CC"/>
            <w:position w:val="0"/>
            <w:sz w:val="20"/>
            <w:u w:val="single"/>
            <w:shd w:val="clear" w:color="auto" w:fill="FFFFFF"/>
            <w:vertAlign w:val="baseline"/>
          </w:rPr>
          <w:t>268 Ga. App. at 850 (1)</w:t>
        </w:r>
      </w:hyperlink>
      <w:r>
        <w:rPr>
          <w:rFonts w:ascii="arial" w:eastAsia="arial" w:hAnsi="arial" w:cs="arial"/>
          <w:b w:val="0"/>
          <w:i w:val="0"/>
          <w:strike w:val="0"/>
          <w:noProof w:val="0"/>
          <w:color w:val="000000"/>
          <w:position w:val="0"/>
          <w:sz w:val="20"/>
          <w:u w:val="none"/>
          <w:vertAlign w:val="baseline"/>
        </w:rPr>
        <w:t xml:space="preserve">. In contrast, the fee award here is such a ruling, and the dismissed case otherwise meets the definition under </w:t>
      </w:r>
      <w:r>
        <w:rPr>
          <w:rFonts w:ascii="arial" w:eastAsia="arial" w:hAnsi="arial" w:cs="arial"/>
          <w:b w:val="0"/>
          <w:i/>
          <w:strike w:val="0"/>
          <w:noProof w:val="0"/>
          <w:color w:val="000000"/>
          <w:position w:val="0"/>
          <w:sz w:val="20"/>
          <w:u w:val="none"/>
          <w:vertAlign w:val="baseline"/>
        </w:rPr>
        <w:t>§ 5-6-34 (a) (1)</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74" w:name="Bookmark_I6DWMFVH2N1PTC0050000400"/>
      <w:bookmarkEnd w:id="74"/>
      <w:bookmarkStart w:id="75" w:name="Bookmark_II08F5YG9NHK003RWNRY00K7H"/>
      <w:bookmarkEnd w:id="75"/>
      <w:bookmarkStart w:id="76" w:name="Bookmark_I6DWMFVH2SF7TH0020000400"/>
      <w:bookmarkEnd w:id="76"/>
      <w:r>
        <w:rPr>
          <w:rFonts w:ascii="arial" w:eastAsia="arial" w:hAnsi="arial" w:cs="arial"/>
          <w:b w:val="0"/>
          <w:i w:val="0"/>
          <w:strike w:val="0"/>
          <w:noProof w:val="0"/>
          <w:color w:val="000000"/>
          <w:position w:val="0"/>
          <w:sz w:val="20"/>
          <w:u w:val="none"/>
          <w:vertAlign w:val="baseline"/>
        </w:rPr>
        <w:t xml:space="preserve">Finally, the Defendants argue that </w:t>
      </w:r>
      <w:bookmarkStart w:id="77" w:name="Bookmark_I6DWMFVH2N1PTC0040000400"/>
      <w:bookmarkEnd w:id="77"/>
      <w:hyperlink r:id="rId50" w:history="1">
        <w:r>
          <w:rPr>
            <w:rFonts w:ascii="arial" w:eastAsia="arial" w:hAnsi="arial" w:cs="arial"/>
            <w:b w:val="0"/>
            <w:i/>
            <w:strike w:val="0"/>
            <w:noProof w:val="0"/>
            <w:color w:val="0077CC"/>
            <w:position w:val="0"/>
            <w:sz w:val="20"/>
            <w:u w:val="single"/>
            <w:shd w:val="clear" w:color="auto" w:fill="FFFFFF"/>
            <w:vertAlign w:val="baseline"/>
          </w:rPr>
          <w:t>Eidson</w:t>
        </w:r>
      </w:hyperlink>
      <w:r>
        <w:rPr>
          <w:rFonts w:ascii="arial" w:eastAsia="arial" w:hAnsi="arial" w:cs="arial"/>
          <w:b w:val="0"/>
          <w:i w:val="0"/>
          <w:strike w:val="0"/>
          <w:noProof w:val="0"/>
          <w:color w:val="000000"/>
          <w:position w:val="0"/>
          <w:sz w:val="20"/>
          <w:u w:val="none"/>
          <w:vertAlign w:val="baseline"/>
        </w:rPr>
        <w:t xml:space="preserve">, relied on by the Court of Appeals here, was correctly decided. But </w:t>
      </w:r>
      <w:bookmarkStart w:id="78" w:name="Bookmark_I6DWMFVH2SF7TH0020000400_2"/>
      <w:bookmarkEnd w:id="78"/>
      <w:bookmarkStart w:id="79" w:name="Bookmark_I6DWMFVH2N1PTC0050000400_2"/>
      <w:bookmarkEnd w:id="79"/>
      <w:bookmarkStart w:id="80" w:name="Bookmark_I6DWMFVH2SF7TH0010000400"/>
      <w:bookmarkEnd w:id="80"/>
      <w:hyperlink r:id="rId51" w:history="1">
        <w:r>
          <w:rPr>
            <w:rFonts w:ascii="arial" w:eastAsia="arial" w:hAnsi="arial" w:cs="arial"/>
            <w:b w:val="0"/>
            <w:i/>
            <w:strike w:val="0"/>
            <w:noProof w:val="0"/>
            <w:color w:val="0077CC"/>
            <w:position w:val="0"/>
            <w:sz w:val="20"/>
            <w:u w:val="single"/>
            <w:shd w:val="clear" w:color="auto" w:fill="FFFFFF"/>
            <w:vertAlign w:val="baseline"/>
          </w:rPr>
          <w:t>Eidson</w:t>
        </w:r>
      </w:hyperlink>
      <w:bookmarkStart w:id="81" w:name="Bookmark_I6DWMFVH2SF7TH0040000400"/>
      <w:bookmarkEnd w:id="81"/>
      <w:r>
        <w:rPr>
          <w:rFonts w:ascii="arial" w:eastAsia="arial" w:hAnsi="arial" w:cs="arial"/>
          <w:b w:val="0"/>
          <w:i w:val="0"/>
          <w:strike w:val="0"/>
          <w:noProof w:val="0"/>
          <w:color w:val="000000"/>
          <w:position w:val="0"/>
          <w:sz w:val="20"/>
          <w:u w:val="none"/>
          <w:vertAlign w:val="baseline"/>
        </w:rPr>
        <w:t xml:space="preserve"> does not apply. There, a plaintiff filed suit in Gwinnett County asserting claims arising from a motor vehicle collision. </w:t>
      </w:r>
      <w:bookmarkStart w:id="82" w:name="Bookmark_I6DWMFVH2SF7TH0030000400"/>
      <w:bookmarkEnd w:id="82"/>
      <w:hyperlink r:id="rId52" w:history="1">
        <w:r>
          <w:rPr>
            <w:rFonts w:ascii="arial" w:eastAsia="arial" w:hAnsi="arial" w:cs="arial"/>
            <w:b w:val="0"/>
            <w:i/>
            <w:strike w:val="0"/>
            <w:noProof w:val="0"/>
            <w:color w:val="0077CC"/>
            <w:position w:val="0"/>
            <w:sz w:val="20"/>
            <w:u w:val="single"/>
            <w:shd w:val="clear" w:color="auto" w:fill="FFFFFF"/>
            <w:vertAlign w:val="baseline"/>
          </w:rPr>
          <w:t>Eidson</w:t>
        </w:r>
      </w:hyperlink>
      <w:hyperlink r:id="rId53" w:history="1">
        <w:r>
          <w:rPr>
            <w:rFonts w:ascii="arial" w:eastAsia="arial" w:hAnsi="arial" w:cs="arial"/>
            <w:b w:val="0"/>
            <w:i/>
            <w:strike w:val="0"/>
            <w:noProof w:val="0"/>
            <w:color w:val="0077CC"/>
            <w:position w:val="0"/>
            <w:sz w:val="20"/>
            <w:u w:val="single"/>
            <w:shd w:val="clear" w:color="auto" w:fill="FFFFFF"/>
            <w:vertAlign w:val="baseline"/>
          </w:rPr>
          <w:t>, 337 Ga. App. at 542</w:t>
        </w:r>
      </w:hyperlink>
      <w:r>
        <w:rPr>
          <w:rFonts w:ascii="arial" w:eastAsia="arial" w:hAnsi="arial" w:cs="arial"/>
          <w:b w:val="0"/>
          <w:i w:val="0"/>
          <w:strike w:val="0"/>
          <w:noProof w:val="0"/>
          <w:color w:val="000000"/>
          <w:position w:val="0"/>
          <w:sz w:val="20"/>
          <w:u w:val="none"/>
          <w:vertAlign w:val="baseline"/>
        </w:rPr>
        <w:t xml:space="preserve">. In two orders entered on the same day, the trial court awarded </w:t>
      </w:r>
      <w:hyperlink r:id="rId54" w:history="1">
        <w:r>
          <w:rPr>
            <w:rFonts w:ascii="arial" w:eastAsia="arial" w:hAnsi="arial" w:cs="arial"/>
            <w:b w:val="0"/>
            <w:i/>
            <w:strike w:val="0"/>
            <w:noProof w:val="0"/>
            <w:color w:val="0077CC"/>
            <w:position w:val="0"/>
            <w:sz w:val="20"/>
            <w:u w:val="single"/>
            <w:shd w:val="clear" w:color="auto" w:fill="FFFFFF"/>
            <w:vertAlign w:val="baseline"/>
          </w:rPr>
          <w:t>OCGA § 9-15-14</w:t>
        </w:r>
      </w:hyperlink>
      <w:r>
        <w:rPr>
          <w:rFonts w:ascii="arial" w:eastAsia="arial" w:hAnsi="arial" w:cs="arial"/>
          <w:b w:val="0"/>
          <w:i w:val="0"/>
          <w:strike w:val="0"/>
          <w:noProof w:val="0"/>
          <w:color w:val="000000"/>
          <w:position w:val="0"/>
          <w:sz w:val="20"/>
          <w:u w:val="none"/>
          <w:vertAlign w:val="baseline"/>
        </w:rPr>
        <w:t xml:space="preserve"> fees to the plaintiff and granted the plaintiff's motion to transfer venue to another county. </w:t>
      </w:r>
      <w:bookmarkStart w:id="83" w:name="Bookmark_I6DWMFVH28T4VS0010000400"/>
      <w:bookmarkEnd w:id="83"/>
      <w:r>
        <w:rPr>
          <w:rFonts w:ascii="arial" w:eastAsia="arial" w:hAnsi="arial" w:cs="arial"/>
          <w:b w:val="0"/>
          <w:i w:val="0"/>
          <w:strike w:val="0"/>
          <w:noProof w:val="0"/>
          <w:color w:val="000000"/>
          <w:position w:val="0"/>
          <w:sz w:val="20"/>
          <w:u w:val="none"/>
          <w:vertAlign w:val="baseline"/>
        </w:rPr>
        <w:t>Id. The defendant filed an application for discretionary review of the fee award, and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Court of Appeals dismissed the appeal because the order was interlocutory in nature. </w:t>
      </w:r>
      <w:bookmarkStart w:id="84" w:name="Bookmark_I6DWMFVH28T4VS0030000400"/>
      <w:bookmarkEnd w:id="84"/>
      <w:r>
        <w:rPr>
          <w:rFonts w:ascii="arial" w:eastAsia="arial" w:hAnsi="arial" w:cs="arial"/>
          <w:b w:val="0"/>
          <w:i w:val="0"/>
          <w:strike w:val="0"/>
          <w:noProof w:val="0"/>
          <w:color w:val="000000"/>
          <w:position w:val="0"/>
          <w:sz w:val="20"/>
          <w:u w:val="none"/>
          <w:vertAlign w:val="baseline"/>
        </w:rPr>
        <w:t>The Court of Appeals's conclusion rested solely on the fact that it was “undisputed that the negligence action remain[ed] pending below” at the time the discretionary application</w:t>
      </w:r>
      <w:r>
        <w:rPr>
          <w:rFonts w:ascii="arial" w:eastAsia="arial" w:hAnsi="arial" w:cs="arial"/>
          <w:b w:val="0"/>
          <w:i w:val="0"/>
          <w:strike w:val="0"/>
          <w:noProof w:val="0"/>
          <w:color w:val="000000"/>
          <w:position w:val="0"/>
          <w:sz w:val="20"/>
          <w:u w:val="none"/>
          <w:vertAlign w:val="baseline"/>
        </w:rPr>
        <w:t> [*572] </w:t>
      </w:r>
      <w:r>
        <w:rPr>
          <w:rFonts w:ascii="arial" w:eastAsia="arial" w:hAnsi="arial" w:cs="arial"/>
          <w:b w:val="0"/>
          <w:i w:val="0"/>
          <w:strike w:val="0"/>
          <w:noProof w:val="0"/>
          <w:color w:val="000000"/>
          <w:position w:val="0"/>
          <w:sz w:val="20"/>
          <w:u w:val="none"/>
          <w:vertAlign w:val="baseline"/>
        </w:rPr>
        <w:t xml:space="preserve"> was filed and the transfer order did not act as a final judgment. </w:t>
      </w:r>
      <w:bookmarkStart w:id="85" w:name="Bookmark_I6DWMFVH2SF7TH0050000400"/>
      <w:bookmarkEnd w:id="85"/>
      <w:hyperlink r:id="rId55" w:history="1">
        <w:r>
          <w:rPr>
            <w:rFonts w:ascii="arial" w:eastAsia="arial" w:hAnsi="arial" w:cs="arial"/>
            <w:b w:val="0"/>
            <w:i/>
            <w:strike w:val="0"/>
            <w:noProof w:val="0"/>
            <w:color w:val="0077CC"/>
            <w:position w:val="0"/>
            <w:sz w:val="20"/>
            <w:u w:val="single"/>
            <w:shd w:val="clear" w:color="auto" w:fill="FFFFFF"/>
            <w:vertAlign w:val="baseline"/>
          </w:rPr>
          <w:t>Id. at 543-544</w:t>
        </w:r>
      </w:hyperlink>
      <w:r>
        <w:rPr>
          <w:rFonts w:ascii="arial" w:eastAsia="arial" w:hAnsi="arial" w:cs="arial"/>
          <w:b w:val="0"/>
          <w:i w:val="0"/>
          <w:strike w:val="0"/>
          <w:noProof w:val="0"/>
          <w:color w:val="000000"/>
          <w:position w:val="0"/>
          <w:sz w:val="20"/>
          <w:u w:val="none"/>
          <w:vertAlign w:val="baseline"/>
        </w:rPr>
        <w:t xml:space="preserve">. </w:t>
      </w:r>
      <w:bookmarkStart w:id="86" w:name="Bookmark_I6DWMFVH28T4VS0030000400_2"/>
      <w:bookmarkEnd w:id="86"/>
      <w:r>
        <w:rPr>
          <w:rFonts w:ascii="arial" w:eastAsia="arial" w:hAnsi="arial" w:cs="arial"/>
          <w:b w:val="0"/>
          <w:i w:val="0"/>
          <w:strike w:val="0"/>
          <w:noProof w:val="0"/>
          <w:color w:val="000000"/>
          <w:position w:val="0"/>
          <w:sz w:val="20"/>
          <w:u w:val="none"/>
          <w:vertAlign w:val="baseline"/>
        </w:rPr>
        <w:t xml:space="preserve">That point alone renders </w:t>
      </w:r>
      <w:bookmarkStart w:id="87" w:name="Bookmark_I6DWMFVH28T4VS0030000400_3"/>
      <w:bookmarkEnd w:id="87"/>
      <w:bookmarkStart w:id="88" w:name="Bookmark_I6DWMFVH28T4VS0020000400"/>
      <w:bookmarkEnd w:id="88"/>
      <w:hyperlink r:id="rId56" w:history="1">
        <w:r>
          <w:rPr>
            <w:rFonts w:ascii="arial" w:eastAsia="arial" w:hAnsi="arial" w:cs="arial"/>
            <w:b w:val="0"/>
            <w:i/>
            <w:strike w:val="0"/>
            <w:noProof w:val="0"/>
            <w:color w:val="0077CC"/>
            <w:position w:val="0"/>
            <w:sz w:val="20"/>
            <w:u w:val="single"/>
            <w:shd w:val="clear" w:color="auto" w:fill="FFFFFF"/>
            <w:vertAlign w:val="baseline"/>
          </w:rPr>
          <w:t>Eidson</w:t>
        </w:r>
      </w:hyperlink>
      <w:r>
        <w:rPr>
          <w:rFonts w:ascii="arial" w:eastAsia="arial" w:hAnsi="arial" w:cs="arial"/>
          <w:b w:val="0"/>
          <w:i w:val="0"/>
          <w:strike w:val="0"/>
          <w:noProof w:val="0"/>
          <w:color w:val="000000"/>
          <w:position w:val="0"/>
          <w:sz w:val="20"/>
          <w:u w:val="none"/>
          <w:vertAlign w:val="baseline"/>
        </w:rPr>
        <w:t xml:space="preserve"> inapplicable here, and nothing more can be gleaned from </w:t>
      </w:r>
      <w:bookmarkStart w:id="89" w:name="Bookmark_I6DWMFVH28T4VS0040000400"/>
      <w:bookmarkEnd w:id="89"/>
      <w:hyperlink r:id="rId57" w:history="1">
        <w:r>
          <w:rPr>
            <w:rFonts w:ascii="arial" w:eastAsia="arial" w:hAnsi="arial" w:cs="arial"/>
            <w:b w:val="0"/>
            <w:i/>
            <w:strike w:val="0"/>
            <w:noProof w:val="0"/>
            <w:color w:val="0077CC"/>
            <w:position w:val="0"/>
            <w:sz w:val="20"/>
            <w:u w:val="single"/>
            <w:shd w:val="clear" w:color="auto" w:fill="FFFFFF"/>
            <w:vertAlign w:val="baseline"/>
          </w:rPr>
          <w:t>Eidson</w:t>
        </w:r>
      </w:hyperlink>
      <w:r>
        <w:rPr>
          <w:rFonts w:ascii="arial" w:eastAsia="arial" w:hAnsi="arial" w:cs="arial"/>
          <w:b w:val="0"/>
          <w:i w:val="0"/>
          <w:strike w:val="0"/>
          <w:noProof w:val="0"/>
          <w:color w:val="000000"/>
          <w:position w:val="0"/>
          <w:sz w:val="20"/>
          <w:u w:val="none"/>
          <w:vertAlign w:val="baseline"/>
        </w:rPr>
        <w:t xml:space="preserve">, because it did not address any of the issues of statutory interpretation involved here. See </w:t>
      </w:r>
      <w:bookmarkStart w:id="90" w:name="Bookmark_I6DWMFVH2D6N780010000400"/>
      <w:bookmarkEnd w:id="90"/>
      <w:hyperlink r:id="rId58" w:history="1">
        <w:r>
          <w:rPr>
            <w:rFonts w:ascii="arial" w:eastAsia="arial" w:hAnsi="arial" w:cs="arial"/>
            <w:b w:val="0"/>
            <w:i/>
            <w:strike w:val="0"/>
            <w:noProof w:val="0"/>
            <w:color w:val="0077CC"/>
            <w:position w:val="0"/>
            <w:sz w:val="20"/>
            <w:u w:val="single"/>
            <w:shd w:val="clear" w:color="auto" w:fill="FFFFFF"/>
            <w:vertAlign w:val="baseline"/>
          </w:rPr>
          <w:t>Cook v. State</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313 Ga. 471, 478 (2) (a) (870 SE2d 758) (2022)</w:t>
        </w:r>
      </w:hyperlink>
      <w:r>
        <w:rPr>
          <w:rFonts w:ascii="arial" w:eastAsia="arial" w:hAnsi="arial" w:cs="arial"/>
          <w:b w:val="0"/>
          <w:i w:val="0"/>
          <w:strike w:val="0"/>
          <w:noProof w:val="0"/>
          <w:color w:val="000000"/>
          <w:position w:val="0"/>
          <w:sz w:val="20"/>
          <w:u w:val="none"/>
          <w:vertAlign w:val="baseline"/>
        </w:rPr>
        <w:t xml:space="preserve"> (“Decisions of this Court and of the Court of Appeals do not stand for points that were neither raised by the parties nor actually decided in the resulting opinion, and questions which merely lurk in the record, neither brought to the attention of the court nor ruled upon, are not to be considered as having been so decided as to constitute precedents.” (citation and punctuation omitted)).</w:t>
      </w:r>
    </w:p>
    <w:p>
      <w:pPr>
        <w:keepNext w:val="0"/>
        <w:spacing w:before="200" w:after="0" w:line="260" w:lineRule="atLeast"/>
        <w:ind w:left="0" w:right="0" w:firstLine="0"/>
        <w:jc w:val="both"/>
      </w:pPr>
      <w:bookmarkStart w:id="91" w:name="Bookmark__1"/>
      <w:bookmarkEnd w:id="91"/>
      <w:r>
        <w:rPr>
          <w:rFonts w:ascii="arial" w:eastAsia="arial" w:hAnsi="arial" w:cs="arial"/>
          <w:b w:val="0"/>
          <w:i w:val="0"/>
          <w:strike w:val="0"/>
          <w:noProof w:val="0"/>
          <w:color w:val="000000"/>
          <w:position w:val="0"/>
          <w:sz w:val="20"/>
          <w:u w:val="none"/>
          <w:vertAlign w:val="baseline"/>
        </w:rPr>
        <w:t>(1) To sum up, the fact that the Plaintiffs could and did renew their action did not mean the dismissed case was “pending,” because the renewal case was a new case and not a continuance of the dismissed case. The trial court's order disposing of the motion for attorneys' fees rendered the first case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no longer pending in that court. Accordingly, that order was a final judgment under </w:t>
      </w:r>
      <w:r>
        <w:rPr>
          <w:rFonts w:ascii="arial" w:eastAsia="arial" w:hAnsi="arial" w:cs="arial"/>
          <w:b w:val="0"/>
          <w:i/>
          <w:strike w:val="0"/>
          <w:noProof w:val="0"/>
          <w:color w:val="000000"/>
          <w:position w:val="0"/>
          <w:sz w:val="20"/>
          <w:u w:val="none"/>
          <w:vertAlign w:val="baseline"/>
        </w:rPr>
        <w:t>OCGA § 5-6-34 (a) (1)</w:t>
      </w:r>
      <w:r>
        <w:rPr>
          <w:rFonts w:ascii="arial" w:eastAsia="arial" w:hAnsi="arial" w:cs="arial"/>
          <w:b w:val="0"/>
          <w:i w:val="0"/>
          <w:strike w:val="0"/>
          <w:noProof w:val="0"/>
          <w:color w:val="000000"/>
          <w:position w:val="0"/>
          <w:sz w:val="20"/>
          <w:u w:val="none"/>
          <w:vertAlign w:val="baseline"/>
        </w:rPr>
        <w:t>. We reverse the Court of Appeals's dismissal of the discretionary application and remand for consideration of that application.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and case remanded.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That subsection provides:</w:t>
      </w:r>
    </w:p>
    <w:p>
      <w:pPr>
        <w:keepNext w:val="0"/>
        <w:spacing w:before="240" w:after="0" w:line="240" w:lineRule="atLeast"/>
        <w:ind w:left="400" w:right="0" w:firstLine="240"/>
        <w:jc w:val="both"/>
      </w:pPr>
      <w:r>
        <w:rPr>
          <w:rFonts w:ascii="arial" w:eastAsia="arial" w:hAnsi="arial" w:cs="arial"/>
          <w:b w:val="0"/>
          <w:i w:val="0"/>
          <w:strike w:val="0"/>
          <w:noProof w:val="0"/>
          <w:color w:val="000000"/>
          <w:position w:val="0"/>
          <w:sz w:val="18"/>
          <w:u w:val="none"/>
          <w:vertAlign w:val="baseline"/>
        </w:rPr>
        <w:t xml:space="preserve">When any case has been commenced in either a state or federal court within the applicable statute of limitations and the plaintiff discontinues or dismisses the same, it may be recommenced in a court of this state or in a federal court either within the original applicable period of limitations or within six months after the discontinuance or dismissal, whichever is later, subject to the requirement of payment of costs in the original action as required by </w:t>
      </w:r>
      <w:hyperlink r:id="rId1" w:history="1">
        <w:r>
          <w:rPr>
            <w:rFonts w:ascii="arial" w:eastAsia="arial" w:hAnsi="arial" w:cs="arial"/>
            <w:b w:val="0"/>
            <w:i/>
            <w:strike w:val="0"/>
            <w:noProof w:val="0"/>
            <w:color w:val="0077CC"/>
            <w:position w:val="0"/>
            <w:sz w:val="18"/>
            <w:u w:val="single"/>
            <w:shd w:val="clear" w:color="auto" w:fill="FFFFFF"/>
            <w:vertAlign w:val="baseline"/>
          </w:rPr>
          <w:t>subsection (d) of Code Section 9-11-41</w:t>
        </w:r>
      </w:hyperlink>
      <w:r>
        <w:rPr>
          <w:rFonts w:ascii="arial" w:eastAsia="arial" w:hAnsi="arial" w:cs="arial"/>
          <w:b w:val="0"/>
          <w:i w:val="0"/>
          <w:strike w:val="0"/>
          <w:noProof w:val="0"/>
          <w:color w:val="000000"/>
          <w:position w:val="0"/>
          <w:sz w:val="18"/>
          <w:u w:val="none"/>
          <w:vertAlign w:val="baseline"/>
        </w:rPr>
        <w:t>; provided, however, if the dismissal or discontinuance occurs after the expiration of the applicable period of limitation, this privilege of renewal shall be exercised only once.</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The record does not reveal the status of the renewal action, but the Plaintiffs asserted in their primary brief to this Court that it remains pending.</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3" w:name="Bookmark_fnpara_2"/>
      <w:bookmarkEnd w:id="33"/>
      <w:r>
        <w:rPr>
          <w:rFonts w:ascii="arial" w:eastAsia="arial" w:hAnsi="arial" w:cs="arial"/>
          <w:b w:val="0"/>
          <w:i w:val="0"/>
          <w:strike w:val="0"/>
          <w:noProof w:val="0"/>
          <w:color w:val="000000"/>
          <w:position w:val="0"/>
          <w:sz w:val="18"/>
          <w:u w:val="none"/>
          <w:vertAlign w:val="baseline"/>
        </w:rPr>
        <w:t xml:space="preserve">In its order, the Court of Appeals referred to “action” when discussing </w:t>
      </w:r>
      <w:r>
        <w:rPr>
          <w:rFonts w:ascii="arial" w:eastAsia="arial" w:hAnsi="arial" w:cs="arial"/>
          <w:b/>
          <w:i/>
          <w:strike w:val="0"/>
          <w:noProof w:val="0"/>
          <w:color w:val="000000"/>
          <w:position w:val="0"/>
          <w:sz w:val="18"/>
          <w:u w:val="none"/>
          <w:vertAlign w:val="baseline"/>
        </w:rPr>
        <w:t>OCGA § 5-6-34 (a) (1)</w:t>
      </w:r>
      <w:r>
        <w:rPr>
          <w:rFonts w:ascii="arial" w:eastAsia="arial" w:hAnsi="arial" w:cs="arial"/>
          <w:b w:val="0"/>
          <w:i w:val="0"/>
          <w:strike w:val="0"/>
          <w:noProof w:val="0"/>
          <w:color w:val="000000"/>
          <w:position w:val="0"/>
          <w:sz w:val="18"/>
          <w:u w:val="none"/>
          <w:vertAlign w:val="baseline"/>
        </w:rPr>
        <w:t xml:space="preserve">, but the terms “case” and “action” are often used interchangeably. See </w:t>
      </w:r>
      <w:bookmarkStart w:id="34" w:name="Bookmark_I6DWMFVD2HM6BK0050000400"/>
      <w:bookmarkEnd w:id="34"/>
      <w:hyperlink r:id="rId2" w:history="1">
        <w:r>
          <w:rPr>
            <w:rFonts w:ascii="arial" w:eastAsia="arial" w:hAnsi="arial" w:cs="arial"/>
            <w:b w:val="0"/>
            <w:i/>
            <w:strike w:val="0"/>
            <w:noProof w:val="0"/>
            <w:color w:val="0077CC"/>
            <w:position w:val="0"/>
            <w:sz w:val="18"/>
            <w:u w:val="single"/>
            <w:shd w:val="clear" w:color="auto" w:fill="FFFFFF"/>
            <w:vertAlign w:val="baseline"/>
          </w:rPr>
          <w:t>State v. SASS Group, LLC</w:t>
        </w:r>
      </w:hyperlink>
      <w:hyperlink r:id="rId3" w:history="1">
        <w:r>
          <w:rPr>
            <w:rFonts w:ascii="arial" w:eastAsia="arial" w:hAnsi="arial" w:cs="arial"/>
            <w:b w:val="0"/>
            <w:i/>
            <w:strike w:val="0"/>
            <w:noProof w:val="0"/>
            <w:color w:val="0077CC"/>
            <w:position w:val="0"/>
            <w:sz w:val="18"/>
            <w:u w:val="single"/>
            <w:shd w:val="clear" w:color="auto" w:fill="FFFFFF"/>
            <w:vertAlign w:val="baseline"/>
          </w:rPr>
          <w:t>, 315 Ga. 893, 900 (2) (a) (885 SE2d 761) (2023)</w:t>
        </w:r>
      </w:hyperlink>
      <w:r>
        <w:rPr>
          <w:rFonts w:ascii="arial" w:eastAsia="arial" w:hAnsi="arial" w:cs="arial"/>
          <w:b w:val="0"/>
          <w:i w:val="0"/>
          <w:strike w:val="0"/>
          <w:noProof w:val="0"/>
          <w:color w:val="000000"/>
          <w:position w:val="0"/>
          <w:sz w:val="18"/>
          <w:u w:val="none"/>
          <w:vertAlign w:val="baseline"/>
        </w:rPr>
        <w:t xml:space="preserve"> (“[The term] ‘action’ is ordinarily and more commonly used to mean a case or lawsuit[.]”).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6" w:name="Bookmark_fnpara_3"/>
      <w:bookmarkEnd w:id="46"/>
      <w:r>
        <w:rPr>
          <w:rFonts w:ascii="arial" w:eastAsia="arial" w:hAnsi="arial" w:cs="arial"/>
          <w:b w:val="0"/>
          <w:i w:val="0"/>
          <w:strike w:val="0"/>
          <w:noProof w:val="0"/>
          <w:color w:val="000000"/>
          <w:position w:val="0"/>
          <w:sz w:val="18"/>
          <w:u w:val="none"/>
          <w:vertAlign w:val="baseline"/>
        </w:rPr>
        <w:t xml:space="preserve">See, e.g., </w:t>
      </w:r>
      <w:bookmarkStart w:id="47" w:name="Bookmark_I6DWMFVG2SF7TB0040000400"/>
      <w:bookmarkEnd w:id="47"/>
      <w:hyperlink r:id="rId4" w:history="1">
        <w:r>
          <w:rPr>
            <w:rFonts w:ascii="arial" w:eastAsia="arial" w:hAnsi="arial" w:cs="arial"/>
            <w:b w:val="0"/>
            <w:i/>
            <w:strike w:val="0"/>
            <w:noProof w:val="0"/>
            <w:color w:val="0077CC"/>
            <w:position w:val="0"/>
            <w:sz w:val="18"/>
            <w:u w:val="single"/>
            <w:shd w:val="clear" w:color="auto" w:fill="FFFFFF"/>
            <w:vertAlign w:val="baseline"/>
          </w:rPr>
          <w:t>Fairburn Banking Co. v. Gafford</w:t>
        </w:r>
      </w:hyperlink>
      <w:hyperlink r:id="rId5" w:history="1">
        <w:r>
          <w:rPr>
            <w:rFonts w:ascii="arial" w:eastAsia="arial" w:hAnsi="arial" w:cs="arial"/>
            <w:b w:val="0"/>
            <w:i/>
            <w:strike w:val="0"/>
            <w:noProof w:val="0"/>
            <w:color w:val="0077CC"/>
            <w:position w:val="0"/>
            <w:sz w:val="18"/>
            <w:u w:val="single"/>
            <w:shd w:val="clear" w:color="auto" w:fill="FFFFFF"/>
            <w:vertAlign w:val="baseline"/>
          </w:rPr>
          <w:t>, 263 Ga. 792, 793 (439 SE2d 482) (1994)</w:t>
        </w:r>
      </w:hyperlink>
      <w:r>
        <w:rPr>
          <w:rFonts w:ascii="arial" w:eastAsia="arial" w:hAnsi="arial" w:cs="arial"/>
          <w:b w:val="0"/>
          <w:i w:val="0"/>
          <w:strike w:val="0"/>
          <w:noProof w:val="0"/>
          <w:color w:val="000000"/>
          <w:position w:val="0"/>
          <w:sz w:val="18"/>
          <w:u w:val="none"/>
          <w:vertAlign w:val="baseline"/>
        </w:rPr>
        <w:t xml:space="preserve">; </w:t>
      </w:r>
      <w:bookmarkStart w:id="48" w:name="Bookmark_I6DWMFVH2SF7TC0010000400"/>
      <w:bookmarkEnd w:id="48"/>
      <w:hyperlink r:id="rId6" w:history="1">
        <w:r>
          <w:rPr>
            <w:rFonts w:ascii="arial" w:eastAsia="arial" w:hAnsi="arial" w:cs="arial"/>
            <w:b w:val="0"/>
            <w:i/>
            <w:strike w:val="0"/>
            <w:noProof w:val="0"/>
            <w:color w:val="0077CC"/>
            <w:position w:val="0"/>
            <w:sz w:val="18"/>
            <w:u w:val="single"/>
            <w:shd w:val="clear" w:color="auto" w:fill="FFFFFF"/>
            <w:vertAlign w:val="baseline"/>
          </w:rPr>
          <w:t>Kim v. Han</w:t>
        </w:r>
      </w:hyperlink>
      <w:hyperlink r:id="rId7" w:history="1">
        <w:r>
          <w:rPr>
            <w:rFonts w:ascii="arial" w:eastAsia="arial" w:hAnsi="arial" w:cs="arial"/>
            <w:b w:val="0"/>
            <w:i/>
            <w:strike w:val="0"/>
            <w:noProof w:val="0"/>
            <w:color w:val="0077CC"/>
            <w:position w:val="0"/>
            <w:sz w:val="18"/>
            <w:u w:val="single"/>
            <w:shd w:val="clear" w:color="auto" w:fill="FFFFFF"/>
            <w:vertAlign w:val="baseline"/>
          </w:rPr>
          <w:t>, 339 Ga. App. 886, 888 (1) (795 SE2d 191) (2016)</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0" w:name="Bookmark_fnpara_4"/>
      <w:bookmarkEnd w:id="60"/>
      <w:r>
        <w:rPr>
          <w:rFonts w:ascii="arial" w:eastAsia="arial" w:hAnsi="arial" w:cs="arial"/>
          <w:b w:val="0"/>
          <w:i w:val="0"/>
          <w:strike w:val="0"/>
          <w:noProof w:val="0"/>
          <w:color w:val="000000"/>
          <w:position w:val="0"/>
          <w:sz w:val="18"/>
          <w:u w:val="none"/>
          <w:vertAlign w:val="baseline"/>
        </w:rPr>
        <w:t xml:space="preserve">The Court of Appeals's opinion does not expressly say that the plaintiff's motion was filed more than 45 days after the voluntary dismissal, but the defendant's motion was filed 44 days after dismissal and the plaintiff's motion was filed in response. </w:t>
      </w:r>
      <w:bookmarkStart w:id="61" w:name="Bookmark_I6DWMFVH2HM6C20010000400"/>
      <w:bookmarkEnd w:id="61"/>
      <w:hyperlink r:id="rId8" w:history="1">
        <w:r>
          <w:rPr>
            <w:rFonts w:ascii="arial" w:eastAsia="arial" w:hAnsi="arial" w:cs="arial"/>
            <w:b w:val="0"/>
            <w:i/>
            <w:strike w:val="0"/>
            <w:noProof w:val="0"/>
            <w:color w:val="0077CC"/>
            <w:position w:val="0"/>
            <w:sz w:val="18"/>
            <w:u w:val="single"/>
            <w:shd w:val="clear" w:color="auto" w:fill="FFFFFF"/>
            <w:vertAlign w:val="baseline"/>
          </w:rPr>
          <w:t>Meister</w:t>
        </w:r>
      </w:hyperlink>
      <w:hyperlink r:id="rId9" w:history="1">
        <w:r>
          <w:rPr>
            <w:rFonts w:ascii="arial" w:eastAsia="arial" w:hAnsi="arial" w:cs="arial"/>
            <w:b w:val="0"/>
            <w:i/>
            <w:strike w:val="0"/>
            <w:noProof w:val="0"/>
            <w:color w:val="0077CC"/>
            <w:position w:val="0"/>
            <w:sz w:val="18"/>
            <w:u w:val="single"/>
            <w:shd w:val="clear" w:color="auto" w:fill="FFFFFF"/>
            <w:vertAlign w:val="baseline"/>
          </w:rPr>
          <w:t>, 268 Ga. App. at 849</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5" w:name="Bookmark_fnpara_5"/>
      <w:bookmarkEnd w:id="65"/>
      <w:bookmarkStart w:id="66" w:name="Bookmark_II08F5YG9NHK003RWNRY00K7K"/>
      <w:bookmarkEnd w:id="66"/>
      <w:bookmarkStart w:id="67" w:name="Bookmark_I6DWMFVH2HM6C20040000400"/>
      <w:bookmarkEnd w:id="67"/>
      <w:bookmarkStart w:id="68" w:name="Bookmark_I6DWMFVH2N1PTC0010000400"/>
      <w:bookmarkEnd w:id="68"/>
      <w:r>
        <w:rPr>
          <w:rFonts w:ascii="arial" w:eastAsia="arial" w:hAnsi="arial" w:cs="arial"/>
          <w:b w:val="0"/>
          <w:i w:val="0"/>
          <w:strike w:val="0"/>
          <w:noProof w:val="0"/>
          <w:color w:val="000000"/>
          <w:position w:val="0"/>
          <w:sz w:val="18"/>
          <w:u w:val="none"/>
          <w:vertAlign w:val="baseline"/>
        </w:rPr>
        <w:t xml:space="preserve">Because we conclude that </w:t>
      </w:r>
      <w:bookmarkStart w:id="69" w:name="Bookmark_I6DWMFVH2HM6C20030000400"/>
      <w:bookmarkEnd w:id="69"/>
      <w:hyperlink r:id="rId10" w:history="1">
        <w:r>
          <w:rPr>
            <w:rFonts w:ascii="arial" w:eastAsia="arial" w:hAnsi="arial" w:cs="arial"/>
            <w:b w:val="0"/>
            <w:i/>
            <w:strike w:val="0"/>
            <w:noProof w:val="0"/>
            <w:color w:val="0077CC"/>
            <w:position w:val="0"/>
            <w:sz w:val="18"/>
            <w:u w:val="single"/>
            <w:shd w:val="clear" w:color="auto" w:fill="FFFFFF"/>
            <w:vertAlign w:val="baseline"/>
          </w:rPr>
          <w:t>Meister</w:t>
        </w:r>
      </w:hyperlink>
      <w:bookmarkStart w:id="70" w:name="Bookmark_I6DWMFVH2N1PTC0030000400"/>
      <w:bookmarkEnd w:id="70"/>
      <w:r>
        <w:rPr>
          <w:rFonts w:ascii="arial" w:eastAsia="arial" w:hAnsi="arial" w:cs="arial"/>
          <w:b w:val="0"/>
          <w:i w:val="0"/>
          <w:strike w:val="0"/>
          <w:noProof w:val="0"/>
          <w:color w:val="000000"/>
          <w:position w:val="0"/>
          <w:sz w:val="18"/>
          <w:u w:val="none"/>
          <w:vertAlign w:val="baseline"/>
        </w:rPr>
        <w:t xml:space="preserve"> is inapplicable, we need not decide whether all of its reasoning was correct. For instance, the Court of Appeals said a “voluntary dismissal” is not “final” because the action could be renewed, but the question of finality in that case was whether the plaintiff's motion was filed “within 45 days after final disposition of the action” under </w:t>
      </w:r>
      <w:hyperlink r:id="rId11" w:history="1">
        <w:r>
          <w:rPr>
            <w:rFonts w:ascii="arial" w:eastAsia="arial" w:hAnsi="arial" w:cs="arial"/>
            <w:b w:val="0"/>
            <w:i/>
            <w:strike w:val="0"/>
            <w:noProof w:val="0"/>
            <w:color w:val="0077CC"/>
            <w:position w:val="0"/>
            <w:sz w:val="18"/>
            <w:u w:val="single"/>
            <w:shd w:val="clear" w:color="auto" w:fill="FFFFFF"/>
            <w:vertAlign w:val="baseline"/>
          </w:rPr>
          <w:t>OCGA § 9-15-14 (e)</w:t>
        </w:r>
      </w:hyperlink>
      <w:r>
        <w:rPr>
          <w:rFonts w:ascii="arial" w:eastAsia="arial" w:hAnsi="arial" w:cs="arial"/>
          <w:b w:val="0"/>
          <w:i w:val="0"/>
          <w:strike w:val="0"/>
          <w:noProof w:val="0"/>
          <w:color w:val="000000"/>
          <w:position w:val="0"/>
          <w:sz w:val="18"/>
          <w:u w:val="none"/>
          <w:vertAlign w:val="baseline"/>
        </w:rPr>
        <w:t xml:space="preserve">. </w:t>
      </w:r>
      <w:bookmarkStart w:id="71" w:name="Bookmark_I6DWMFVH2HM6C20050000400"/>
      <w:bookmarkEnd w:id="71"/>
      <w:hyperlink r:id="rId12" w:history="1">
        <w:r>
          <w:rPr>
            <w:rFonts w:ascii="arial" w:eastAsia="arial" w:hAnsi="arial" w:cs="arial"/>
            <w:b w:val="0"/>
            <w:i/>
            <w:strike w:val="0"/>
            <w:noProof w:val="0"/>
            <w:color w:val="0077CC"/>
            <w:position w:val="0"/>
            <w:sz w:val="18"/>
            <w:u w:val="single"/>
            <w:shd w:val="clear" w:color="auto" w:fill="FFFFFF"/>
            <w:vertAlign w:val="baseline"/>
          </w:rPr>
          <w:t>268 Ga. App. at 850 (1)</w:t>
        </w:r>
      </w:hyperlink>
      <w:r>
        <w:rPr>
          <w:rFonts w:ascii="arial" w:eastAsia="arial" w:hAnsi="arial" w:cs="arial"/>
          <w:b w:val="0"/>
          <w:i w:val="0"/>
          <w:strike w:val="0"/>
          <w:noProof w:val="0"/>
          <w:color w:val="000000"/>
          <w:position w:val="0"/>
          <w:sz w:val="18"/>
          <w:u w:val="none"/>
          <w:vertAlign w:val="baseline"/>
        </w:rPr>
        <w:t xml:space="preserve">. </w:t>
      </w:r>
      <w:bookmarkStart w:id="72" w:name="Bookmark_I6DWMFVH2N1PTC0030000400_2"/>
      <w:bookmarkEnd w:id="72"/>
      <w:r>
        <w:rPr>
          <w:rFonts w:ascii="arial" w:eastAsia="arial" w:hAnsi="arial" w:cs="arial"/>
          <w:b w:val="0"/>
          <w:i w:val="0"/>
          <w:strike w:val="0"/>
          <w:noProof w:val="0"/>
          <w:color w:val="000000"/>
          <w:position w:val="0"/>
          <w:sz w:val="18"/>
          <w:u w:val="none"/>
          <w:vertAlign w:val="baseline"/>
        </w:rPr>
        <w:t xml:space="preserve">And despite suggesting that a court order is a necessary element of a final judgment under </w:t>
      </w:r>
      <w:r>
        <w:rPr>
          <w:rFonts w:ascii="arial" w:eastAsia="arial" w:hAnsi="arial" w:cs="arial"/>
          <w:b/>
          <w:i/>
          <w:strike w:val="0"/>
          <w:noProof w:val="0"/>
          <w:color w:val="000000"/>
          <w:position w:val="0"/>
          <w:sz w:val="18"/>
          <w:u w:val="none"/>
          <w:vertAlign w:val="baseline"/>
        </w:rPr>
        <w:t>OCGA § 5-6-34 (a) (1)</w:t>
      </w:r>
      <w:r>
        <w:rPr>
          <w:rFonts w:ascii="arial" w:eastAsia="arial" w:hAnsi="arial" w:cs="arial"/>
          <w:b w:val="0"/>
          <w:i w:val="0"/>
          <w:strike w:val="0"/>
          <w:noProof w:val="0"/>
          <w:color w:val="000000"/>
          <w:position w:val="0"/>
          <w:sz w:val="18"/>
          <w:u w:val="none"/>
          <w:vertAlign w:val="baseline"/>
        </w:rPr>
        <w:t xml:space="preserve">, and thus a final disposition under </w:t>
      </w:r>
      <w:hyperlink r:id="rId13" w:history="1">
        <w:r>
          <w:rPr>
            <w:rFonts w:ascii="arial" w:eastAsia="arial" w:hAnsi="arial" w:cs="arial"/>
            <w:b w:val="0"/>
            <w:i/>
            <w:strike w:val="0"/>
            <w:noProof w:val="0"/>
            <w:color w:val="0077CC"/>
            <w:position w:val="0"/>
            <w:sz w:val="18"/>
            <w:u w:val="single"/>
            <w:shd w:val="clear" w:color="auto" w:fill="FFFFFF"/>
            <w:vertAlign w:val="baseline"/>
          </w:rPr>
          <w:t>OCGA § 9-15-14 (e)</w:t>
        </w:r>
      </w:hyperlink>
      <w:r>
        <w:rPr>
          <w:rFonts w:ascii="arial" w:eastAsia="arial" w:hAnsi="arial" w:cs="arial"/>
          <w:b w:val="0"/>
          <w:i w:val="0"/>
          <w:strike w:val="0"/>
          <w:noProof w:val="0"/>
          <w:color w:val="000000"/>
          <w:position w:val="0"/>
          <w:sz w:val="18"/>
          <w:u w:val="none"/>
          <w:vertAlign w:val="baseline"/>
        </w:rPr>
        <w:t xml:space="preserve">, the Court of Appeals then described situations in which a voluntary dismissal would be a “final disposition” that required no court order at all. See </w:t>
      </w:r>
      <w:bookmarkStart w:id="73" w:name="Bookmark_I6DWMFVH2N1PTC0020000400"/>
      <w:bookmarkEnd w:id="73"/>
      <w:hyperlink r:id="rId14" w:history="1">
        <w:r>
          <w:rPr>
            <w:rFonts w:ascii="arial" w:eastAsia="arial" w:hAnsi="arial" w:cs="arial"/>
            <w:b w:val="0"/>
            <w:i/>
            <w:strike w:val="0"/>
            <w:noProof w:val="0"/>
            <w:color w:val="0077CC"/>
            <w:position w:val="0"/>
            <w:sz w:val="18"/>
            <w:u w:val="single"/>
            <w:shd w:val="clear" w:color="auto" w:fill="FFFFFF"/>
            <w:vertAlign w:val="baseline"/>
          </w:rPr>
          <w:t>268 Ga. App. at 850 (1)</w:t>
        </w:r>
      </w:hyperlink>
      <w:r>
        <w:rPr>
          <w:rFonts w:ascii="arial" w:eastAsia="arial" w:hAnsi="arial" w:cs="arial"/>
          <w:b w:val="0"/>
          <w:i w:val="0"/>
          <w:strike w:val="0"/>
          <w:noProof w:val="0"/>
          <w:color w:val="000000"/>
          <w:position w:val="0"/>
          <w:sz w:val="18"/>
          <w:u w:val="none"/>
          <w:vertAlign w:val="baseline"/>
        </w:rPr>
        <w:t xml:space="preserve"> (describing a second dismissal or the lapse of six months from date of the first dismissal as constituting a “final disposition”); see also Black's Law Dictionary 572 (10th ed. 2014) (defining “disposition” as, among other things, “[a] final settlement or determination,” as in “the court's disposition of the case”).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Cook-Rose v. Waffle House, Inc.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S71-DYB7-W3PS-00000-00&amp;context=1530671" TargetMode="External" /><Relationship Id="rId11" Type="http://schemas.openxmlformats.org/officeDocument/2006/relationships/hyperlink" Target="https://plus.lexis.com/api/document?collection=cases&amp;id=urn:contentItem:5K2W-RMS1-F04F-T06G-00000-00&amp;context=1530671" TargetMode="External" /><Relationship Id="rId12" Type="http://schemas.openxmlformats.org/officeDocument/2006/relationships/hyperlink" Target="https://plus.lexis.com/api/document?collection=cases&amp;id=urn:contentItem:5K2W-RMS1-F04F-T06G-00000-00&amp;context=1530671" TargetMode="External" /><Relationship Id="rId13" Type="http://schemas.openxmlformats.org/officeDocument/2006/relationships/hyperlink" Target="https://plus.lexis.com/api/document?collection=cases&amp;id=urn:contentItem:5K2W-RMS1-F04F-T06G-00000-00&amp;context=1530671" TargetMode="External" /><Relationship Id="rId14" Type="http://schemas.openxmlformats.org/officeDocument/2006/relationships/hyperlink" Target="https://plus.lexis.com/api/document?collection=cases&amp;id=urn:contentItem:5K2W-RMS1-F04F-T06G-00000-00&amp;context=1530671" TargetMode="External" /><Relationship Id="rId15" Type="http://schemas.openxmlformats.org/officeDocument/2006/relationships/hyperlink" Target="https://plus.lexis.com/api/document?collection=cases&amp;id=urn:contentItem:5K2W-RMS1-F04F-T06G-00000-00&amp;context=1530671" TargetMode="External" /><Relationship Id="rId16" Type="http://schemas.openxmlformats.org/officeDocument/2006/relationships/hyperlink" Target="https://plus.lexis.com/api/document?collection=statutes-legislation&amp;id=urn:contentItem:6FTG-MTV3-RXM2-X4RG-00000-00&amp;context=1530671" TargetMode="External" /><Relationship Id="rId17" Type="http://schemas.openxmlformats.org/officeDocument/2006/relationships/hyperlink" Target="https://plus.lexis.com/api/document?collection=statutes-legislation&amp;id=urn:contentItem:6FTG-MTV3-RXM2-X4RG-00000-00&amp;context=1530671" TargetMode="External" /><Relationship Id="rId18" Type="http://schemas.openxmlformats.org/officeDocument/2006/relationships/hyperlink" Target="https://plus.lexis.com/api/document?collection=cases&amp;id=urn:contentItem:5VBP-TC71-FC6N-X4T4-00000-00&amp;context=1530671" TargetMode="External" /><Relationship Id="rId19" Type="http://schemas.openxmlformats.org/officeDocument/2006/relationships/hyperlink" Target="https://plus.lexis.com/api/document?collection=cases&amp;id=urn:contentItem:5VBP-TC71-FC6N-X4T4-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348-FS71-DYB7-W4KK-00000-00&amp;context=1530671" TargetMode="External" /><Relationship Id="rId21" Type="http://schemas.openxmlformats.org/officeDocument/2006/relationships/hyperlink" Target="https://plus.lexis.com/api/document?collection=statutes-legislation&amp;id=urn:contentItem:6FTG-MTV3-RXM2-X4RG-00000-00&amp;context=1530671" TargetMode="External" /><Relationship Id="rId22" Type="http://schemas.openxmlformats.org/officeDocument/2006/relationships/hyperlink" Target="https://plus.lexis.com/api/document?collection=cases&amp;id=urn:contentItem:5N1F-7HB1-DY1P-S02G-00000-00&amp;context=1530671" TargetMode="External" /><Relationship Id="rId23" Type="http://schemas.openxmlformats.org/officeDocument/2006/relationships/hyperlink" Target="https://plus.lexis.com/api/document?collection=cases&amp;id=urn:contentItem:5N1F-7HB1-DY1P-S02G-00000-00&amp;context=1530671" TargetMode="External" /><Relationship Id="rId24" Type="http://schemas.openxmlformats.org/officeDocument/2006/relationships/hyperlink" Target="https://plus.lexis.com/api/document?collection=cases&amp;id=urn:contentItem:59VP-BF41-DY1P-S0T8-00000-00&amp;context=1530671" TargetMode="External" /><Relationship Id="rId25" Type="http://schemas.openxmlformats.org/officeDocument/2006/relationships/hyperlink" Target="https://plus.lexis.com/api/document?collection=cases&amp;id=urn:contentItem:59VP-BF41-DY1P-S0T8-00000-00&amp;context=1530671" TargetMode="External" /><Relationship Id="rId26" Type="http://schemas.openxmlformats.org/officeDocument/2006/relationships/hyperlink" Target="https://plus.lexis.com/api/document?collection=cases&amp;id=urn:contentItem:518C-2FW1-F04F-V04S-00000-00&amp;context=1530671" TargetMode="External" /><Relationship Id="rId27" Type="http://schemas.openxmlformats.org/officeDocument/2006/relationships/hyperlink" Target="https://plus.lexis.com/api/document?collection=cases&amp;id=urn:contentItem:518C-2FW1-F04F-V04S-00000-00&amp;context=1530671" TargetMode="External" /><Relationship Id="rId28" Type="http://schemas.openxmlformats.org/officeDocument/2006/relationships/hyperlink" Target="https://plus.lexis.com/api/document?collection=cases&amp;id=urn:contentItem:3RX8-9F30-003G-P50G-00000-00&amp;context=1530671" TargetMode="External" /><Relationship Id="rId29" Type="http://schemas.openxmlformats.org/officeDocument/2006/relationships/hyperlink" Target="https://plus.lexis.com/api/document?collection=cases&amp;id=urn:contentItem:3RX8-9F30-003G-P50G-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RHK-M6T1-JNJT-B4GN-00000-00&amp;context=1530671" TargetMode="External" /><Relationship Id="rId31" Type="http://schemas.openxmlformats.org/officeDocument/2006/relationships/hyperlink" Target="https://plus.lexis.com/api/document?collection=cases&amp;id=urn:contentItem:5RHK-M6T1-JNJT-B4GN-00000-00&amp;context=1530671" TargetMode="External" /><Relationship Id="rId32" Type="http://schemas.openxmlformats.org/officeDocument/2006/relationships/hyperlink" Target="https://plus.lexis.com/api/document?collection=statutes-legislation&amp;id=urn:contentItem:6348-FS71-DYB7-W3PS-00000-00&amp;context=1530671" TargetMode="External" /><Relationship Id="rId33" Type="http://schemas.openxmlformats.org/officeDocument/2006/relationships/hyperlink" Target="https://plus.lexis.com/api/document?collection=cases&amp;id=urn:contentItem:3WKX-M2S0-00KR-D3GF-00000-00&amp;context=1530671" TargetMode="External" /><Relationship Id="rId34" Type="http://schemas.openxmlformats.org/officeDocument/2006/relationships/hyperlink" Target="https://plus.lexis.com/api/document?collection=cases&amp;id=urn:contentItem:3WKX-M2S0-00KR-D3GF-00000-00&amp;context=1530671" TargetMode="External" /><Relationship Id="rId35" Type="http://schemas.openxmlformats.org/officeDocument/2006/relationships/hyperlink" Target="https://plus.lexis.com/api/document?collection=statutes-legislation&amp;id=urn:contentItem:6348-FS71-DYB7-W3PS-00000-00&amp;context=1530671" TargetMode="External" /><Relationship Id="rId36" Type="http://schemas.openxmlformats.org/officeDocument/2006/relationships/hyperlink" Target="https://plus.lexis.com/api/document?collection=cases&amp;id=urn:contentItem:69CK-YP51-F528-G00T-00000-00&amp;context=1530671" TargetMode="External" /><Relationship Id="rId37" Type="http://schemas.openxmlformats.org/officeDocument/2006/relationships/hyperlink" Target="https://plus.lexis.com/api/document?collection=cases&amp;id=urn:contentItem:69CK-YP51-F528-G00T-00000-00&amp;context=1530671" TargetMode="External" /><Relationship Id="rId38" Type="http://schemas.openxmlformats.org/officeDocument/2006/relationships/hyperlink" Target="https://plus.lexis.com/api/document?collection=cases&amp;id=urn:contentItem:3RX8-CGX0-003G-P08V-00000-00&amp;context=1530671" TargetMode="External" /><Relationship Id="rId39" Type="http://schemas.openxmlformats.org/officeDocument/2006/relationships/hyperlink" Target="https://plus.lexis.com/api/document?collection=cases&amp;id=urn:contentItem:3RX8-CGX0-003G-P08V-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348-FS71-DYB7-W3PS-00000-00&amp;context=1530671" TargetMode="External" /><Relationship Id="rId41" Type="http://schemas.openxmlformats.org/officeDocument/2006/relationships/hyperlink" Target="https://plus.lexis.com/api/document?collection=statutes-legislation&amp;id=urn:contentItem:6348-FS71-DYB7-W4KK-00000-00&amp;context=1530671" TargetMode="External" /><Relationship Id="rId42" Type="http://schemas.openxmlformats.org/officeDocument/2006/relationships/hyperlink" Target="https://plus.lexis.com/api/document?collection=cases&amp;id=urn:contentItem:4D05-31G0-0039-421G-00000-00&amp;context=1530671" TargetMode="External" /><Relationship Id="rId43" Type="http://schemas.openxmlformats.org/officeDocument/2006/relationships/hyperlink" Target="https://plus.lexis.com/api/document?collection=cases&amp;id=urn:contentItem:4D05-31G0-0039-421G-00000-00&amp;context=1530671" TargetMode="External" /><Relationship Id="rId44" Type="http://schemas.openxmlformats.org/officeDocument/2006/relationships/hyperlink" Target="https://plus.lexis.com/api/document?collection=cases&amp;id=urn:contentItem:4D05-31G0-0039-421G-00000-00&amp;context=1530671" TargetMode="External" /><Relationship Id="rId45" Type="http://schemas.openxmlformats.org/officeDocument/2006/relationships/hyperlink" Target="https://plus.lexis.com/api/document?collection=statutes-legislation&amp;id=urn:contentItem:6348-FS71-DYB7-W4KK-00000-00&amp;context=1530671" TargetMode="External" /><Relationship Id="rId46" Type="http://schemas.openxmlformats.org/officeDocument/2006/relationships/hyperlink" Target="https://plus.lexis.com/api/document?collection=statutes-legislation&amp;id=urn:contentItem:6348-FS71-DYB7-W4KK-00000-00&amp;context=1530671" TargetMode="External" /><Relationship Id="rId47" Type="http://schemas.openxmlformats.org/officeDocument/2006/relationships/hyperlink" Target="https://plus.lexis.com/api/document?collection=cases&amp;id=urn:contentItem:4D05-31G0-0039-421G-00000-00&amp;context=1530671" TargetMode="External" /><Relationship Id="rId48" Type="http://schemas.openxmlformats.org/officeDocument/2006/relationships/hyperlink" Target="https://plus.lexis.com/api/document?collection=statutes-legislation&amp;id=urn:contentItem:6348-FS71-DYB7-W4KK-00000-00&amp;context=1530671" TargetMode="External" /><Relationship Id="rId49" Type="http://schemas.openxmlformats.org/officeDocument/2006/relationships/hyperlink" Target="https://plus.lexis.com/api/document?collection=cases&amp;id=urn:contentItem:4D05-31G0-0039-421G-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K2W-RMS1-F04F-T06G-00000-00&amp;context=1530671" TargetMode="External" /><Relationship Id="rId51" Type="http://schemas.openxmlformats.org/officeDocument/2006/relationships/hyperlink" Target="https://plus.lexis.com/api/document?collection=cases&amp;id=urn:contentItem:5K2W-RMS1-F04F-T06G-00000-00&amp;context=1530671" TargetMode="External" /><Relationship Id="rId52" Type="http://schemas.openxmlformats.org/officeDocument/2006/relationships/hyperlink" Target="https://plus.lexis.com/api/document?collection=cases&amp;id=urn:contentItem:5K2W-RMS1-F04F-T06G-00000-00&amp;context=1530671" TargetMode="External" /><Relationship Id="rId53" Type="http://schemas.openxmlformats.org/officeDocument/2006/relationships/hyperlink" Target="https://plus.lexis.com/api/document?collection=cases&amp;id=urn:contentItem:5K2W-RMS1-F04F-T06G-00000-00&amp;context=1530671" TargetMode="External" /><Relationship Id="rId54" Type="http://schemas.openxmlformats.org/officeDocument/2006/relationships/hyperlink" Target="https://plus.lexis.com/api/document?collection=statutes-legislation&amp;id=urn:contentItem:6348-FS71-DYB7-W4KK-00000-00&amp;context=1530671" TargetMode="External" /><Relationship Id="rId55" Type="http://schemas.openxmlformats.org/officeDocument/2006/relationships/hyperlink" Target="https://plus.lexis.com/api/document?collection=cases&amp;id=urn:contentItem:5K2W-RMS1-F04F-T06G-00000-00&amp;context=1530671" TargetMode="External" /><Relationship Id="rId56" Type="http://schemas.openxmlformats.org/officeDocument/2006/relationships/hyperlink" Target="https://plus.lexis.com/api/document?collection=cases&amp;id=urn:contentItem:5K2W-RMS1-F04F-T06G-00000-00&amp;context=1530671" TargetMode="External" /><Relationship Id="rId57" Type="http://schemas.openxmlformats.org/officeDocument/2006/relationships/hyperlink" Target="https://plus.lexis.com/api/document?collection=cases&amp;id=urn:contentItem:5K2W-RMS1-F04F-T06G-00000-00&amp;context=1530671" TargetMode="External" /><Relationship Id="rId58" Type="http://schemas.openxmlformats.org/officeDocument/2006/relationships/hyperlink" Target="https://plus.lexis.com/api/document?collection=cases&amp;id=urn:contentItem:650S-JYK1-JNS1-M2M0-00000-00&amp;context=1530671" TargetMode="External" /><Relationship Id="rId59" Type="http://schemas.openxmlformats.org/officeDocument/2006/relationships/hyperlink" Target="https://plus.lexis.com/api/document?collection=cases&amp;id=urn:contentItem:650S-JYK1-JNS1-M2M0-00000-00&amp;context=1530671" TargetMode="External" /><Relationship Id="rId6" Type="http://schemas.openxmlformats.org/officeDocument/2006/relationships/footer" Target="footer1.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footer" Target="footer2.xml" /><Relationship Id="rId8" Type="http://schemas.openxmlformats.org/officeDocument/2006/relationships/hyperlink" Target="https://plus.lexis.com/api/document?collection=cases&amp;id=urn:contentItem:6DPB-BMT3-RVJ8-S43H-00000-00&amp;context=1530671" TargetMode="External" /><Relationship Id="rId9" Type="http://schemas.openxmlformats.org/officeDocument/2006/relationships/hyperlink" Target="https://plus.lexis.com/api/document?collection=statutes-legislation&amp;id=urn:contentItem:6348-FS71-DYB7-W4KK-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FNB-JHG3-RSWV-B09T-00000-00&amp;context=1530671" TargetMode="External" /><Relationship Id="rId10" Type="http://schemas.openxmlformats.org/officeDocument/2006/relationships/hyperlink" Target="https://plus.lexis.com/api/document?collection=cases&amp;id=urn:contentItem:4D05-31G0-0039-421G-00000-00&amp;context=1530671" TargetMode="External" /><Relationship Id="rId11" Type="http://schemas.openxmlformats.org/officeDocument/2006/relationships/hyperlink" Target="https://plus.lexis.com/api/document?collection=statutes-legislation&amp;id=urn:contentItem:6348-FS71-DYB7-W4KK-00000-00&amp;context=1530671" TargetMode="External" /><Relationship Id="rId12" Type="http://schemas.openxmlformats.org/officeDocument/2006/relationships/hyperlink" Target="https://plus.lexis.com/api/document?collection=cases&amp;id=urn:contentItem:4D05-31G0-0039-421G-00000-00&amp;context=1530671" TargetMode="External" /><Relationship Id="rId13" Type="http://schemas.openxmlformats.org/officeDocument/2006/relationships/hyperlink" Target="https://plus.lexis.com/api/document?collection=statutes-legislation&amp;id=urn:contentItem:6348-FS71-DYB7-W4KK-00000-00&amp;context=1530671" TargetMode="External" /><Relationship Id="rId14" Type="http://schemas.openxmlformats.org/officeDocument/2006/relationships/hyperlink" Target="https://plus.lexis.com/api/document?collection=cases&amp;id=urn:contentItem:4D05-31G0-0039-421G-00000-00&amp;context=1530671" TargetMode="External" /><Relationship Id="rId2" Type="http://schemas.openxmlformats.org/officeDocument/2006/relationships/hyperlink" Target="https://plus.lexis.com/api/document?collection=cases&amp;id=urn:contentItem:67SM-CKN1-JPGX-S3M4-00000-00&amp;context=1530671" TargetMode="External" /><Relationship Id="rId3" Type="http://schemas.openxmlformats.org/officeDocument/2006/relationships/hyperlink" Target="https://plus.lexis.com/api/document?collection=cases&amp;id=urn:contentItem:67SM-CKN1-JPGX-S3M4-00000-00&amp;context=1530671" TargetMode="External" /><Relationship Id="rId4" Type="http://schemas.openxmlformats.org/officeDocument/2006/relationships/hyperlink" Target="https://plus.lexis.com/api/document?collection=cases&amp;id=urn:contentItem:3RX8-9G50-003G-P0BD-00000-00&amp;context=1530671" TargetMode="External" /><Relationship Id="rId5" Type="http://schemas.openxmlformats.org/officeDocument/2006/relationships/hyperlink" Target="https://plus.lexis.com/api/document?collection=cases&amp;id=urn:contentItem:3RX8-9G50-003G-P0BD-00000-00&amp;context=1530671" TargetMode="External" /><Relationship Id="rId6" Type="http://schemas.openxmlformats.org/officeDocument/2006/relationships/hyperlink" Target="https://plus.lexis.com/api/document?collection=cases&amp;id=urn:contentItem:5MD6-S6H1-F04F-T01G-00000-00&amp;context=1530671" TargetMode="External" /><Relationship Id="rId7" Type="http://schemas.openxmlformats.org/officeDocument/2006/relationships/hyperlink" Target="https://plus.lexis.com/api/document?collection=cases&amp;id=urn:contentItem:5MD6-S6H1-F04F-T01G-00000-00&amp;context=1530671" TargetMode="External" /><Relationship Id="rId8" Type="http://schemas.openxmlformats.org/officeDocument/2006/relationships/hyperlink" Target="https://plus.lexis.com/api/document?collection=cases&amp;id=urn:contentItem:4D05-31G0-0039-421G-00000-00&amp;context=1530671" TargetMode="External" /><Relationship Id="rId9" Type="http://schemas.openxmlformats.org/officeDocument/2006/relationships/hyperlink" Target="https://plus.lexis.com/api/document?collection=cases&amp;id=urn:contentItem:4D05-31G0-0039-421G-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Cook-Rose v. Waffle House, Inc.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PB-BMT3-RVJ8-S43H-00000-00">
    <vt:lpwstr>Doc::/shared/document|contextualFeaturePermID::1530671</vt:lpwstr>
  </property>
  <property fmtid="{D5CDD505-2E9C-101B-9397-08002B2CF9AE}" pid="4" name="LNDeliveryID">
    <vt:lpwstr>280593246</vt:lpwstr>
  </property>
  <property fmtid="{D5CDD505-2E9C-101B-9397-08002B2CF9AE}" pid="5" name="UserPermID">
    <vt:lpwstr>urn:user:PA197239389</vt:lpwstr>
  </property>
</Properties>
</file>