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6.2.0 -->
  <w:body>
    <w:p>
      <w:pPr>
        <w:sectPr>
          <w:headerReference w:type="default" r:id="rId5"/>
          <w:footerReference w:type="default" r:id="rId6"/>
          <w:footerReference w:type="first" r:id="rId7"/>
          <w:pgSz w:w="12240" w:h="15840"/>
          <w:pgMar w:top="840" w:right="1000" w:bottom="840" w:left="1000" w:header="400" w:footer="400"/>
          <w:pgNumType w:fmt="decimal"/>
          <w:cols w:space="720"/>
          <w:titlePg/>
        </w:sectPr>
      </w:pP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shd w:val="clear" w:color="auto" w:fill="FFFFFF"/>
            <w:vertAlign w:val="baseline"/>
          </w:rPr>
          <w:t>Harper v. State</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Court of Appeals of Georgia</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25, 2025, Decided</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A25A1622</w:t>
      </w:r>
      <w:r>
        <w:rPr>
          <w:rFonts w:ascii="arial" w:eastAsia="arial" w:hAnsi="arial" w:cs="arial"/>
          <w:b w:val="0"/>
          <w:i w:val="0"/>
          <w:strike w:val="0"/>
          <w:noProof w:val="0"/>
          <w:color w:val="000000"/>
          <w:position w:val="0"/>
          <w:sz w:val="20"/>
          <w:u w:val="none"/>
          <w:vertAlign w:val="baseline"/>
        </w:rPr>
        <w:t>.</w:t>
      </w:r>
    </w:p>
    <w:p>
      <w:pPr>
        <w:keepNext w:val="0"/>
        <w:spacing w:after="0" w:line="240" w:lineRule="atLeast"/>
        <w:ind w:right="0"/>
        <w:jc w:val="both"/>
      </w:pPr>
      <w:bookmarkStart w:id="0" w:name="Bookmark_1"/>
      <w:bookmarkEnd w:id="0"/>
    </w:p>
    <w:p>
      <w:pPr>
        <w:keepNext w:val="0"/>
        <w:spacing w:before="200" w:after="0" w:line="240" w:lineRule="atLeast"/>
        <w:ind w:left="0" w:right="0" w:firstLine="0"/>
        <w:jc w:val="left"/>
      </w:pPr>
      <w:bookmarkStart w:id="1" w:name="Reporter"/>
      <w:bookmarkEnd w:id="1"/>
      <w:r>
        <w:rPr>
          <w:rFonts w:ascii="arial" w:eastAsia="arial" w:hAnsi="arial" w:cs="arial"/>
          <w:b/>
          <w:i w:val="0"/>
          <w:strike w:val="0"/>
          <w:noProof w:val="0"/>
          <w:color w:val="000000"/>
          <w:position w:val="0"/>
          <w:sz w:val="18"/>
          <w:u w:val="none"/>
          <w:vertAlign w:val="baseline"/>
        </w:rPr>
        <w:t>Reporter</w:t>
      </w:r>
    </w:p>
    <w:p>
      <w:pPr>
        <w:keepNext w:val="0"/>
        <w:spacing w:after="0" w:line="240" w:lineRule="atLeast"/>
        <w:ind w:left="0" w:right="0" w:firstLine="0"/>
        <w:jc w:val="left"/>
      </w:pPr>
      <w:r>
        <w:rPr>
          <w:rFonts w:ascii="arial" w:eastAsia="arial" w:hAnsi="arial" w:cs="arial"/>
          <w:b w:val="0"/>
          <w:i w:val="0"/>
          <w:strike w:val="0"/>
          <w:noProof w:val="0"/>
          <w:color w:val="000000"/>
          <w:position w:val="0"/>
          <w:sz w:val="18"/>
          <w:u w:val="none"/>
          <w:vertAlign w:val="baseline"/>
        </w:rPr>
        <w:t>378 Ga. App. 84 *</w:t>
      </w: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val="0"/>
          <w:strike w:val="0"/>
          <w:noProof w:val="0"/>
          <w:color w:val="000000"/>
          <w:position w:val="0"/>
          <w:sz w:val="18"/>
          <w:u w:val="none"/>
          <w:vertAlign w:val="baseline"/>
        </w:rPr>
        <w:t>923 S.E.2d 766 **</w:t>
      </w: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val="0"/>
          <w:strike w:val="0"/>
          <w:noProof w:val="0"/>
          <w:color w:val="000000"/>
          <w:position w:val="0"/>
          <w:sz w:val="18"/>
          <w:u w:val="none"/>
          <w:vertAlign w:val="baseline"/>
        </w:rPr>
        <w:t>2025 Ga. App. LEXIS 554 ***</w:t>
      </w: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val="0"/>
          <w:strike w:val="0"/>
          <w:noProof w:val="0"/>
          <w:color w:val="000000"/>
          <w:position w:val="0"/>
          <w:sz w:val="18"/>
          <w:u w:val="none"/>
          <w:vertAlign w:val="baseline"/>
        </w:rPr>
        <w:t>2025 LX 543728</w:t>
      </w: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val="0"/>
          <w:strike w:val="0"/>
          <w:noProof w:val="0"/>
          <w:color w:val="000000"/>
          <w:position w:val="0"/>
          <w:sz w:val="18"/>
          <w:u w:val="none"/>
          <w:vertAlign w:val="baseline"/>
        </w:rPr>
        <w:t>2025 WL 3280141</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HARPER v. THE STATE.</w:t>
      </w:r>
    </w:p>
    <w:p>
      <w:pPr>
        <w:keepNext w:val="0"/>
        <w:spacing w:before="240" w:after="0" w:line="260" w:lineRule="atLeast"/>
        <w:ind w:left="0" w:right="0" w:firstLine="0"/>
        <w:jc w:val="both"/>
      </w:pPr>
      <w:bookmarkStart w:id="2" w:name="Subsequent History"/>
      <w:bookmarkEnd w:id="2"/>
      <w:r>
        <w:rPr>
          <w:rFonts w:ascii="arial" w:eastAsia="arial" w:hAnsi="arial" w:cs="arial"/>
          <w:b/>
          <w:i w:val="0"/>
          <w:strike w:val="0"/>
          <w:noProof w:val="0"/>
          <w:color w:val="000000"/>
          <w:position w:val="0"/>
          <w:sz w:val="20"/>
          <w:u w:val="none"/>
          <w:vertAlign w:val="baseline"/>
        </w:rPr>
        <w:t>Subsequent History:</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val="0"/>
          <w:i w:val="0"/>
          <w:strike w:val="0"/>
          <w:noProof w:val="0"/>
          <w:color w:val="000000"/>
          <w:position w:val="0"/>
          <w:sz w:val="20"/>
          <w:u w:val="none"/>
          <w:vertAlign w:val="baseline"/>
        </w:rPr>
        <w:t>Cert. applied for.</w:t>
      </w:r>
    </w:p>
    <w:p>
      <w:pPr>
        <w:keepNext w:val="0"/>
        <w:spacing w:before="240" w:after="0" w:line="260" w:lineRule="atLeast"/>
        <w:ind w:left="0" w:right="0" w:firstLine="0"/>
        <w:jc w:val="both"/>
      </w:pPr>
      <w:bookmarkStart w:id="3" w:name="Prior History"/>
      <w:bookmarkEnd w:id="3"/>
      <w:r>
        <w:rPr>
          <w:rFonts w:ascii="arial" w:eastAsia="arial" w:hAnsi="arial" w:cs="arial"/>
          <w:b/>
          <w:i w:val="0"/>
          <w:strike w:val="0"/>
          <w:noProof w:val="0"/>
          <w:color w:val="000000"/>
          <w:position w:val="0"/>
          <w:sz w:val="20"/>
          <w:u w:val="none"/>
          <w:vertAlign w:val="baseline"/>
        </w:rPr>
        <w:t>Prior History:</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val="0"/>
          <w:i w:val="0"/>
          <w:strike w:val="0"/>
          <w:noProof w:val="0"/>
          <w:color w:val="000000"/>
          <w:position w:val="0"/>
          <w:sz w:val="20"/>
          <w:u w:val="none"/>
          <w:vertAlign w:val="baseline"/>
        </w:rPr>
        <w:t>Armed robbery; sentence. Fulton Superior Court. Before Judge Farmer.</w:t>
      </w:r>
    </w:p>
    <w:p>
      <w:pPr>
        <w:keepNext w:val="0"/>
        <w:spacing w:before="240" w:after="0" w:line="260" w:lineRule="atLeast"/>
        <w:ind w:left="0" w:right="0" w:firstLine="0"/>
        <w:jc w:val="both"/>
      </w:pPr>
      <w:bookmarkStart w:id="4" w:name="Disposition"/>
      <w:bookmarkEnd w:id="4"/>
      <w:r>
        <w:rPr>
          <w:rFonts w:ascii="arial" w:eastAsia="arial" w:hAnsi="arial" w:cs="arial"/>
          <w:b/>
          <w:i w:val="0"/>
          <w:strike w:val="0"/>
          <w:noProof w:val="0"/>
          <w:color w:val="000000"/>
          <w:position w:val="0"/>
          <w:sz w:val="20"/>
          <w:u w:val="none"/>
          <w:vertAlign w:val="baseline"/>
        </w:rPr>
        <w:t>Disposition:</w:t>
      </w:r>
      <w:r>
        <w:rPr>
          <w:rFonts w:ascii="arial" w:eastAsia="arial" w:hAnsi="arial" w:cs="arial"/>
          <w:b w:val="0"/>
          <w:i w:val="0"/>
          <w:strike w:val="0"/>
          <w:noProof w:val="0"/>
          <w:color w:val="000000"/>
          <w:position w:val="0"/>
          <w:sz w:val="20"/>
          <w:u w:val="none"/>
          <w:vertAlign w:val="baseline"/>
        </w:rPr>
        <w:t> </w:t>
      </w:r>
      <w:bookmarkStart w:id="5" w:name="Bookmark_clspara_15"/>
      <w:bookmarkEnd w:id="5"/>
      <w:r>
        <w:rPr>
          <w:rFonts w:ascii="arial" w:eastAsia="arial" w:hAnsi="arial" w:cs="arial"/>
          <w:b w:val="0"/>
          <w:i w:val="0"/>
          <w:strike w:val="0"/>
          <w:noProof w:val="0"/>
          <w:color w:val="000000"/>
          <w:position w:val="0"/>
          <w:sz w:val="20"/>
          <w:u w:val="none"/>
          <w:vertAlign w:val="baseline"/>
        </w:rPr>
        <w:t>Judgment affirmed.</w:t>
      </w:r>
    </w:p>
    <w:p>
      <w:pPr>
        <w:keepNext w:val="0"/>
        <w:spacing w:before="240" w:after="0" w:line="260" w:lineRule="atLeast"/>
        <w:ind w:left="0" w:right="0" w:firstLine="0"/>
        <w:jc w:val="left"/>
      </w:pPr>
      <w:bookmarkStart w:id="6" w:name="Counsel"/>
      <w:bookmarkEnd w:id="6"/>
      <w:r>
        <w:rPr>
          <w:rFonts w:ascii="arial" w:eastAsia="arial" w:hAnsi="arial" w:cs="arial"/>
          <w:b/>
          <w:i w:val="0"/>
          <w:strike w:val="0"/>
          <w:noProof w:val="0"/>
          <w:color w:val="000000"/>
          <w:position w:val="0"/>
          <w:sz w:val="20"/>
          <w:u w:val="none"/>
          <w:vertAlign w:val="baseline"/>
        </w:rPr>
        <w:t>Counsel:</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val="0"/>
          <w:i/>
          <w:strike w:val="0"/>
          <w:noProof w:val="0"/>
          <w:color w:val="000000"/>
          <w:position w:val="0"/>
          <w:sz w:val="20"/>
          <w:u w:val="none"/>
          <w:vertAlign w:val="baseline"/>
        </w:rPr>
        <w:t>Lee &amp; Ziegler, Konrad G. W. Ziegler</w:t>
      </w:r>
      <w:r>
        <w:rPr>
          <w:rFonts w:ascii="arial" w:eastAsia="arial" w:hAnsi="arial" w:cs="arial"/>
          <w:b w:val="0"/>
          <w:i w:val="0"/>
          <w:strike w:val="0"/>
          <w:noProof w:val="0"/>
          <w:color w:val="000000"/>
          <w:position w:val="0"/>
          <w:sz w:val="20"/>
          <w:u w:val="none"/>
          <w:vertAlign w:val="baseline"/>
        </w:rPr>
        <w:t>, for appellant.</w:t>
      </w:r>
    </w:p>
    <w:p>
      <w:pPr>
        <w:keepNext w:val="0"/>
        <w:spacing w:before="240" w:after="0" w:line="260" w:lineRule="atLeast"/>
        <w:ind w:left="0" w:right="0" w:firstLine="0"/>
        <w:jc w:val="left"/>
      </w:pPr>
      <w:r>
        <w:br/>
      </w:r>
      <w:r>
        <w:rPr>
          <w:rFonts w:ascii="arial" w:eastAsia="arial" w:hAnsi="arial" w:cs="arial"/>
          <w:b w:val="0"/>
          <w:i/>
          <w:strike w:val="0"/>
          <w:noProof w:val="0"/>
          <w:color w:val="000000"/>
          <w:position w:val="0"/>
          <w:sz w:val="20"/>
          <w:u w:val="none"/>
          <w:vertAlign w:val="baseline"/>
        </w:rPr>
        <w:t>Fani T. Willis, District Attorney, Elaine L. Thompson, Senior Assistant District Attorney</w:t>
      </w:r>
      <w:r>
        <w:rPr>
          <w:rFonts w:ascii="arial" w:eastAsia="arial" w:hAnsi="arial" w:cs="arial"/>
          <w:b w:val="0"/>
          <w:i w:val="0"/>
          <w:strike w:val="0"/>
          <w:noProof w:val="0"/>
          <w:color w:val="000000"/>
          <w:position w:val="0"/>
          <w:sz w:val="20"/>
          <w:u w:val="none"/>
          <w:vertAlign w:val="baseline"/>
        </w:rPr>
        <w:t>, for appellee.</w:t>
      </w:r>
    </w:p>
    <w:p>
      <w:pPr>
        <w:keepNext w:val="0"/>
        <w:spacing w:before="240" w:after="0" w:line="260" w:lineRule="atLeast"/>
        <w:ind w:left="0" w:right="0" w:firstLine="0"/>
        <w:jc w:val="left"/>
      </w:pPr>
      <w:bookmarkStart w:id="7" w:name="Judges"/>
      <w:bookmarkEnd w:id="7"/>
      <w:r>
        <w:rPr>
          <w:rFonts w:ascii="arial" w:eastAsia="arial" w:hAnsi="arial" w:cs="arial"/>
          <w:b/>
          <w:i w:val="0"/>
          <w:strike w:val="0"/>
          <w:noProof w:val="0"/>
          <w:color w:val="000000"/>
          <w:position w:val="0"/>
          <w:sz w:val="20"/>
          <w:u w:val="none"/>
          <w:vertAlign w:val="baseline"/>
        </w:rPr>
        <w:t>Judges:</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val="0"/>
          <w:i w:val="0"/>
          <w:strike w:val="0"/>
          <w:noProof w:val="0"/>
          <w:color w:val="000000"/>
          <w:position w:val="0"/>
          <w:sz w:val="20"/>
          <w:u w:val="none"/>
          <w:vertAlign w:val="baseline"/>
        </w:rPr>
        <w:t> [***1] </w:t>
      </w:r>
      <w:r>
        <w:rPr>
          <w:rFonts w:ascii="arial" w:eastAsia="arial" w:hAnsi="arial" w:cs="arial"/>
          <w:b w:val="0"/>
          <w:i w:val="0"/>
          <w:strike w:val="0"/>
          <w:noProof w:val="0"/>
          <w:color w:val="000000"/>
          <w:position w:val="0"/>
          <w:sz w:val="20"/>
          <w:u w:val="none"/>
          <w:vertAlign w:val="baseline"/>
        </w:rPr>
        <w:t>DILLARD, P. J., MERCIER, J., and SENIOR JUDGE FULLER. Mercier, J., and Senior Judge C. Andrew Fuller, concur.</w:t>
      </w:r>
    </w:p>
    <w:p>
      <w:pPr>
        <w:keepNext w:val="0"/>
        <w:spacing w:before="240" w:after="0" w:line="260" w:lineRule="atLeast"/>
        <w:ind w:left="0" w:right="0" w:firstLine="0"/>
        <w:jc w:val="left"/>
      </w:pPr>
      <w:bookmarkStart w:id="8" w:name="Opinion by"/>
      <w:bookmarkEnd w:id="8"/>
      <w:r>
        <w:rPr>
          <w:rFonts w:ascii="arial" w:eastAsia="arial" w:hAnsi="arial" w:cs="arial"/>
          <w:b/>
          <w:i w:val="0"/>
          <w:strike w:val="0"/>
          <w:noProof w:val="0"/>
          <w:color w:val="000000"/>
          <w:position w:val="0"/>
          <w:sz w:val="20"/>
          <w:u w:val="none"/>
          <w:vertAlign w:val="baseline"/>
        </w:rPr>
        <w:t>Opinion by:</w:t>
      </w:r>
      <w:r>
        <w:rPr>
          <w:rFonts w:ascii="arial" w:eastAsia="arial" w:hAnsi="arial" w:cs="arial"/>
          <w:b w:val="0"/>
          <w:i w:val="0"/>
          <w:strike w:val="0"/>
          <w:noProof w:val="0"/>
          <w:color w:val="000000"/>
          <w:position w:val="0"/>
          <w:sz w:val="20"/>
          <w:u w:val="none"/>
          <w:vertAlign w:val="baseline"/>
        </w:rPr>
        <w:t> DILLARD</w:t>
      </w:r>
    </w:p>
    <w:p>
      <w:pPr>
        <w:keepNext/>
        <w:spacing w:before="240" w:after="0" w:line="340" w:lineRule="atLeast"/>
        <w:ind w:left="0" w:right="0" w:firstLine="0"/>
        <w:jc w:val="left"/>
      </w:pPr>
      <w:bookmarkStart w:id="9" w:name="Opinion"/>
      <w:bookmarkEnd w:id="9"/>
      <w:r>
        <w:rPr>
          <w:rFonts w:ascii="arial" w:eastAsia="arial" w:hAnsi="arial" w:cs="arial"/>
          <w:b/>
          <w:i w:val="0"/>
          <w:strike w:val="0"/>
          <w:noProof w:val="0"/>
          <w:color w:val="000000"/>
          <w:position w:val="0"/>
          <w:sz w:val="28"/>
          <w:u w:val="none"/>
          <w:vertAlign w:val="baseline"/>
        </w:rPr>
        <w:t>Opinion</w:t>
      </w:r>
    </w:p>
    <w:p>
      <w:pPr>
        <w:spacing w:line="60" w:lineRule="exact"/>
      </w:pPr>
      <w:r>
        <w:pict>
          <v:line id="_x0000_s1025"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[*84] </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 [**766] </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mallCaps/>
          <w:strike w:val="0"/>
          <w:noProof w:val="0"/>
          <w:color w:val="000000"/>
          <w:position w:val="0"/>
          <w:sz w:val="20"/>
          <w:u w:val="none"/>
          <w:vertAlign w:val="baseline"/>
        </w:rPr>
        <w:t>Dillard</w:t>
      </w:r>
      <w:r>
        <w:rPr>
          <w:rFonts w:ascii="arial" w:eastAsia="arial" w:hAnsi="arial" w:cs="arial"/>
          <w:b w:val="0"/>
          <w:i w:val="0"/>
          <w:strike w:val="0"/>
          <w:noProof w:val="0"/>
          <w:color w:val="000000"/>
          <w:position w:val="0"/>
          <w:sz w:val="20"/>
          <w:u w:val="none"/>
          <w:vertAlign w:val="baseline"/>
        </w:rPr>
        <w:t>, Presiding Judge.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Genesis Harper was convicted of armed robbery and sentenced as a recidivist to life imprisonment without the possibility of parole under </w:t>
      </w:r>
      <w:hyperlink r:id="rId9" w:history="1">
        <w:r>
          <w:rPr>
            <w:rFonts w:ascii="arial" w:eastAsia="arial" w:hAnsi="arial" w:cs="arial"/>
            <w:b w:val="0"/>
            <w:i/>
            <w:strike w:val="0"/>
            <w:noProof w:val="0"/>
            <w:color w:val="0077CC"/>
            <w:position w:val="0"/>
            <w:sz w:val="20"/>
            <w:u w:val="single"/>
            <w:shd w:val="clear" w:color="auto" w:fill="FFFFFF"/>
            <w:vertAlign w:val="baseline"/>
          </w:rPr>
          <w:t>OCGA § 16-8-41(b)</w:t>
        </w:r>
      </w:hyperlink>
      <w:r>
        <w:rPr>
          <w:rFonts w:ascii="arial" w:eastAsia="arial" w:hAnsi="arial" w:cs="arial"/>
          <w:b w:val="0"/>
          <w:i w:val="0"/>
          <w:strike w:val="0"/>
          <w:noProof w:val="0"/>
          <w:color w:val="000000"/>
          <w:position w:val="0"/>
          <w:sz w:val="20"/>
          <w:u w:val="none"/>
          <w:vertAlign w:val="baseline"/>
        </w:rPr>
        <w:t>. Harper appeals, arguing the trial court erred by disregarding an ambiguity in the statute and, as a result, failing to apply the rule of lenity. For the following reasons, we affirm.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March 16, 2016, Harper was charged (via indictment) with several firearm and gang-related offenses—including armed robbery and possession of a firearm in the commission of a felony. Harper then proceeded to trial and was convicted of only those two offenses.</w:t>
      </w:r>
      <w:r>
        <w:rPr>
          <w:rFonts w:ascii="arial" w:eastAsia="arial" w:hAnsi="arial" w:cs="arial"/>
          <w:vertAlign w:val="superscript"/>
        </w:rPr>
        <w:footnoteReference w:customMarkFollows="1" w:id="2"/>
        <w:t xml:space="preserve">1</w:t>
      </w:r>
      <w:r>
        <w:rPr>
          <w:rFonts w:ascii="arial" w:eastAsia="arial" w:hAnsi="arial" w:cs="arial"/>
          <w:b w:val="0"/>
          <w:i w:val="0"/>
          <w:strike w:val="0"/>
          <w:noProof w:val="0"/>
          <w:color w:val="000000"/>
          <w:position w:val="0"/>
          <w:sz w:val="20"/>
          <w:u w:val="none"/>
          <w:vertAlign w:val="baseline"/>
        </w:rPr>
        <w:t xml:space="preserve"> As to Harper’s sentence, the State presented evidence of his prior convictions and he does not contend the trial court erred in sentencing him as a recidivist under </w:t>
      </w:r>
      <w:hyperlink r:id="rId10" w:history="1">
        <w:r>
          <w:rPr>
            <w:rFonts w:ascii="arial" w:eastAsia="arial" w:hAnsi="arial" w:cs="arial"/>
            <w:b w:val="0"/>
            <w:i/>
            <w:strike w:val="0"/>
            <w:noProof w:val="0"/>
            <w:color w:val="0077CC"/>
            <w:position w:val="0"/>
            <w:sz w:val="20"/>
            <w:u w:val="single"/>
            <w:shd w:val="clear" w:color="auto" w:fill="FFFFFF"/>
            <w:vertAlign w:val="baseline"/>
          </w:rPr>
          <w:t>OCGA § 17-10-7(c)</w:t>
        </w:r>
      </w:hyperlink>
      <w:r>
        <w:rPr>
          <w:rFonts w:ascii="arial" w:eastAsia="arial" w:hAnsi="arial" w:cs="arial"/>
          <w:b w:val="0"/>
          <w:i w:val="0"/>
          <w:strike w:val="0"/>
          <w:noProof w:val="0"/>
          <w:color w:val="000000"/>
          <w:position w:val="0"/>
          <w:sz w:val="20"/>
          <w:u w:val="none"/>
          <w:vertAlign w:val="baseline"/>
        </w:rPr>
        <w:t xml:space="preserve">. Significantly, </w:t>
      </w:r>
      <w:bookmarkStart w:id="11" w:name="Bookmark_LNHNREFclscc1"/>
      <w:bookmarkEnd w:id="11"/>
      <w:r>
        <w:rPr>
          <w:rFonts w:ascii="arial" w:eastAsia="arial" w:hAnsi="arial" w:cs="arial"/>
          <w:b w:val="0"/>
          <w:i w:val="0"/>
          <w:strike w:val="0"/>
          <w:noProof w:val="0"/>
          <w:color w:val="000000"/>
          <w:position w:val="0"/>
          <w:sz w:val="20"/>
          <w:u w:val="none"/>
          <w:vertAlign w:val="baseline"/>
        </w:rPr>
        <w:t>the recidivism statute requires a recidivist to be sentenced to the maximum</w:t>
      </w:r>
      <w:r>
        <w:rPr>
          <w:rFonts w:ascii="arial" w:eastAsia="arial" w:hAnsi="arial" w:cs="arial"/>
          <w:b w:val="0"/>
          <w:i w:val="0"/>
          <w:strike w:val="0"/>
          <w:noProof w:val="0"/>
          <w:color w:val="000000"/>
          <w:position w:val="0"/>
          <w:sz w:val="20"/>
          <w:u w:val="none"/>
          <w:vertAlign w:val="baseline"/>
        </w:rPr>
        <w:t> [*85] </w:t>
      </w:r>
      <w:r>
        <w:rPr>
          <w:rFonts w:ascii="arial" w:eastAsia="arial" w:hAnsi="arial" w:cs="arial"/>
          <w:b w:val="0"/>
          <w:i w:val="0"/>
          <w:strike w:val="0"/>
          <w:noProof w:val="0"/>
          <w:color w:val="000000"/>
          <w:position w:val="0"/>
          <w:sz w:val="20"/>
          <w:u w:val="none"/>
          <w:vertAlign w:val="baseline"/>
        </w:rPr>
        <w:t xml:space="preserve"> sentence available for the convicted offense, which must be served without the possibility of parole.</w:t>
      </w:r>
      <w:r>
        <w:rPr>
          <w:rFonts w:ascii="arial" w:eastAsia="arial" w:hAnsi="arial" w:cs="arial"/>
          <w:vertAlign w:val="superscript"/>
        </w:rPr>
        <w:footnoteReference w:customMarkFollows="1" w:id="3"/>
        <w:t xml:space="preserve">2</w:t>
      </w:r>
    </w:p>
    <w:p>
      <w:pPr>
        <w:keepNext w:val="0"/>
        <w:spacing w:before="240" w:after="0" w:line="260" w:lineRule="atLeast"/>
        <w:ind w:left="0" w:right="0" w:firstLine="0"/>
        <w:jc w:val="both"/>
      </w:pPr>
      <w:bookmarkStart w:id="14" w:name="Bookmark_II08HN22JV7T003RWYMN003YD"/>
      <w:bookmarkEnd w:id="14"/>
      <w:bookmarkStart w:id="15" w:name="Bookmark_I08J5VY8592003MB5TJ003P7"/>
      <w:bookmarkEnd w:id="15"/>
      <w:r>
        <w:rPr>
          <w:rFonts w:ascii="arial" w:eastAsia="arial" w:hAnsi="arial" w:cs="arial"/>
          <w:b w:val="0"/>
          <w:i w:val="0"/>
          <w:strike w:val="0"/>
          <w:noProof w:val="0"/>
          <w:color w:val="000000"/>
          <w:position w:val="0"/>
          <w:sz w:val="20"/>
          <w:u w:val="none"/>
          <w:vertAlign w:val="baseline"/>
        </w:rPr>
        <w:t xml:space="preserve">Relevant here, </w:t>
      </w:r>
      <w:bookmarkStart w:id="16" w:name="Bookmark_LNHNREFclscc3"/>
      <w:bookmarkEnd w:id="16"/>
      <w:r>
        <w:rPr>
          <w:rFonts w:ascii="arial" w:eastAsia="arial" w:hAnsi="arial" w:cs="arial"/>
          <w:b w:val="0"/>
          <w:i w:val="0"/>
          <w:strike w:val="0"/>
          <w:noProof w:val="0"/>
          <w:color w:val="000000"/>
          <w:position w:val="0"/>
          <w:sz w:val="20"/>
          <w:u w:val="none"/>
          <w:vertAlign w:val="baseline"/>
        </w:rPr>
        <w:t xml:space="preserve">under </w:t>
      </w:r>
      <w:hyperlink r:id="rId11" w:history="1">
        <w:r>
          <w:rPr>
            <w:rFonts w:ascii="arial" w:eastAsia="arial" w:hAnsi="arial" w:cs="arial"/>
            <w:b w:val="0"/>
            <w:i/>
            <w:strike w:val="0"/>
            <w:noProof w:val="0"/>
            <w:color w:val="0077CC"/>
            <w:position w:val="0"/>
            <w:sz w:val="20"/>
            <w:u w:val="single"/>
            <w:shd w:val="clear" w:color="auto" w:fill="FFFFFF"/>
            <w:vertAlign w:val="baseline"/>
          </w:rPr>
          <w:t>OCGA § 16-8-41(a)</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 [**767] </w:t>
      </w:r>
      <w:r>
        <w:rPr>
          <w:rFonts w:ascii="arial" w:eastAsia="arial" w:hAnsi="arial" w:cs="arial"/>
          <w:b w:val="0"/>
          <w:i w:val="0"/>
          <w:strike w:val="0"/>
          <w:noProof w:val="0"/>
          <w:color w:val="000000"/>
          <w:position w:val="0"/>
          <w:sz w:val="20"/>
          <w:u w:val="none"/>
          <w:vertAlign w:val="baseline"/>
        </w:rPr>
        <w:t xml:space="preserve"> “[a] person commits the offense of armed robbery when, with intent to commit theft, he or she takes property of another from the person or the immediate presence of another by use of an offensive weapon, or any replica, article, or device having the appearance of such weapon.” As to sentencing for that offense, </w:t>
      </w:r>
      <w:hyperlink r:id="rId12" w:history="1">
        <w:r>
          <w:rPr>
            <w:rFonts w:ascii="arial" w:eastAsia="arial" w:hAnsi="arial" w:cs="arial"/>
            <w:b w:val="0"/>
            <w:i/>
            <w:strike w:val="0"/>
            <w:noProof w:val="0"/>
            <w:color w:val="0077CC"/>
            <w:position w:val="0"/>
            <w:sz w:val="20"/>
            <w:u w:val="single"/>
            <w:shd w:val="clear" w:color="auto" w:fill="FFFFFF"/>
            <w:vertAlign w:val="baseline"/>
          </w:rPr>
          <w:t>OCGA § 16-8-41(b)</w:t>
        </w:r>
      </w:hyperlink>
      <w:r>
        <w:rPr>
          <w:rFonts w:ascii="arial" w:eastAsia="arial" w:hAnsi="arial" w:cs="arial"/>
          <w:b w:val="0"/>
          <w:i w:val="0"/>
          <w:strike w:val="0"/>
          <w:noProof w:val="0"/>
          <w:color w:val="000000"/>
          <w:position w:val="0"/>
          <w:sz w:val="20"/>
          <w:u w:val="none"/>
          <w:vertAlign w:val="baseline"/>
        </w:rPr>
        <w:t xml:space="preserve"> provides that “[a] person convicted of the offense of armed robbery shall be punished by death or imprisonment for life or by imprisonment for not less than ten nor more than 20 years.” And given Harper’s status as a recidivist, the trial court sentenced Harper to life imprisonment without the possibility of parole.</w:t>
      </w:r>
      <w:r>
        <w:rPr>
          <w:rFonts w:ascii="arial" w:eastAsia="arial" w:hAnsi="arial" w:cs="arial"/>
          <w:vertAlign w:val="superscript"/>
        </w:rPr>
        <w:footnoteReference w:customMarkFollows="1" w:id="4"/>
        <w:t xml:space="preserve">3</w:t>
      </w:r>
      <w:r>
        <w:rPr>
          <w:rFonts w:ascii="arial" w:eastAsia="arial" w:hAnsi="arial" w:cs="arial"/>
          <w:b w:val="0"/>
          <w:i w:val="0"/>
          <w:strike w:val="0"/>
          <w:noProof w:val="0"/>
          <w:color w:val="000000"/>
          <w:position w:val="0"/>
          <w:sz w:val="20"/>
          <w:u w:val="none"/>
          <w:vertAlign w:val="baseline"/>
        </w:rPr>
        <w:t xml:space="preserve"> This appeal follows.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his sole claim of error, Harper argues the trial court erred by disregarding an ambiguity in </w:t>
      </w:r>
      <w:hyperlink r:id="rId13" w:history="1">
        <w:r>
          <w:rPr>
            <w:rFonts w:ascii="arial" w:eastAsia="arial" w:hAnsi="arial" w:cs="arial"/>
            <w:b w:val="0"/>
            <w:i/>
            <w:strike w:val="0"/>
            <w:noProof w:val="0"/>
            <w:color w:val="0077CC"/>
            <w:position w:val="0"/>
            <w:sz w:val="20"/>
            <w:u w:val="single"/>
            <w:shd w:val="clear" w:color="auto" w:fill="FFFFFF"/>
            <w:vertAlign w:val="baseline"/>
          </w:rPr>
          <w:t>OCGA § 16-8-41 (b)</w:t>
        </w:r>
      </w:hyperlink>
      <w:r>
        <w:rPr>
          <w:rFonts w:ascii="arial" w:eastAsia="arial" w:hAnsi="arial" w:cs="arial"/>
          <w:b w:val="0"/>
          <w:i w:val="0"/>
          <w:strike w:val="0"/>
          <w:noProof w:val="0"/>
          <w:color w:val="000000"/>
          <w:position w:val="0"/>
          <w:sz w:val="20"/>
          <w:u w:val="none"/>
          <w:vertAlign w:val="baseline"/>
        </w:rPr>
        <w:t xml:space="preserve"> and, thus, failing to apply the rule of lenity when sentencing him. This argument is foreclosed by binding precedent.</w:t>
      </w:r>
    </w:p>
    <w:p>
      <w:pPr>
        <w:keepNext w:val="0"/>
        <w:spacing w:before="200" w:after="0" w:line="260" w:lineRule="atLeast"/>
        <w:ind w:left="0" w:right="0" w:firstLine="0"/>
        <w:jc w:val="both"/>
      </w:pPr>
      <w:bookmarkStart w:id="20" w:name="Bookmark_I08J5JWCBNH003MBJ6G0003J"/>
      <w:bookmarkEnd w:id="20"/>
      <w:bookmarkStart w:id="21" w:name="Bookmark_I08J5JWCBNH003MBJ6G0003M"/>
      <w:bookmarkEnd w:id="21"/>
      <w:bookmarkStart w:id="22" w:name="Bookmark_I08J5JWCCJ2003MBJ6G0003W"/>
      <w:bookmarkEnd w:id="22"/>
      <w:bookmarkStart w:id="23" w:name="Bookmark_I08J5JWCD4Y003MBJ6G0003Y"/>
      <w:bookmarkEnd w:id="23"/>
      <w:bookmarkStart w:id="24" w:name="Bookmark_LNHNREFclscc5"/>
      <w:bookmarkEnd w:id="24"/>
      <w:r>
        <w:rPr>
          <w:rFonts w:ascii="arial" w:eastAsia="arial" w:hAnsi="arial" w:cs="arial"/>
          <w:b w:val="0"/>
          <w:i w:val="0"/>
          <w:strike w:val="0"/>
          <w:noProof w:val="0"/>
          <w:color w:val="000000"/>
          <w:position w:val="0"/>
          <w:sz w:val="20"/>
          <w:u w:val="none"/>
          <w:vertAlign w:val="baseline"/>
        </w:rPr>
        <w:t>The Supreme Court of the United States has referred to the rule of lenity “as a sort of junior version of the vagueness doctrine,” which requires fair warning as to what conduct is proscribed.</w:t>
      </w:r>
      <w:r>
        <w:rPr>
          <w:rFonts w:ascii="arial" w:eastAsia="arial" w:hAnsi="arial" w:cs="arial"/>
          <w:vertAlign w:val="superscript"/>
        </w:rPr>
        <w:footnoteReference w:customMarkFollows="1" w:id="5"/>
        <w:t xml:space="preserve">4</w:t>
      </w:r>
      <w:r>
        <w:rPr>
          <w:rFonts w:ascii="arial" w:eastAsia="arial" w:hAnsi="arial" w:cs="arial"/>
          <w:b w:val="0"/>
          <w:i w:val="0"/>
          <w:strike w:val="0"/>
          <w:noProof w:val="0"/>
          <w:color w:val="000000"/>
          <w:position w:val="0"/>
          <w:sz w:val="20"/>
          <w:u w:val="none"/>
          <w:vertAlign w:val="baseline"/>
        </w:rPr>
        <w:t xml:space="preserve"> The rule of lenity ensures that “if and when an ambiguity exists</w:t>
      </w:r>
      <w:r>
        <w:rPr>
          <w:rFonts w:ascii="arial" w:eastAsia="arial" w:hAnsi="arial" w:cs="arial"/>
          <w:b w:val="0"/>
          <w:i w:val="0"/>
          <w:strike w:val="0"/>
          <w:noProof w:val="0"/>
          <w:color w:val="000000"/>
          <w:position w:val="0"/>
          <w:sz w:val="20"/>
          <w:u w:val="none"/>
          <w:vertAlign w:val="baseline"/>
        </w:rPr>
        <w:t> [***3] </w:t>
      </w:r>
      <w:r>
        <w:rPr>
          <w:rFonts w:ascii="arial" w:eastAsia="arial" w:hAnsi="arial" w:cs="arial"/>
          <w:b w:val="0"/>
          <w:i w:val="0"/>
          <w:strike w:val="0"/>
          <w:noProof w:val="0"/>
          <w:color w:val="000000"/>
          <w:position w:val="0"/>
          <w:sz w:val="20"/>
          <w:u w:val="none"/>
          <w:vertAlign w:val="baseline"/>
        </w:rPr>
        <w:t xml:space="preserve"> in one or more statutes, such that the law exacts varying degrees of punishment for the same offense, the ambiguity will be resolved in favor of a defendant, who will then receive the lesser punishment.”</w:t>
      </w:r>
      <w:r>
        <w:rPr>
          <w:rFonts w:ascii="arial" w:eastAsia="arial" w:hAnsi="arial" w:cs="arial"/>
          <w:vertAlign w:val="superscript"/>
        </w:rPr>
        <w:footnoteReference w:customMarkFollows="1" w:id="6"/>
        <w:t xml:space="preserve">5</w:t>
      </w:r>
      <w:r>
        <w:rPr>
          <w:rFonts w:ascii="arial" w:eastAsia="arial" w:hAnsi="arial" w:cs="arial"/>
          <w:b w:val="0"/>
          <w:i w:val="0"/>
          <w:strike w:val="0"/>
          <w:noProof w:val="0"/>
          <w:color w:val="000000"/>
          <w:position w:val="0"/>
          <w:sz w:val="20"/>
          <w:u w:val="none"/>
          <w:vertAlign w:val="baseline"/>
        </w:rPr>
        <w:t xml:space="preserve"> But importantly, the</w:t>
      </w:r>
      <w:r>
        <w:rPr>
          <w:rFonts w:ascii="arial" w:eastAsia="arial" w:hAnsi="arial" w:cs="arial"/>
          <w:b w:val="0"/>
          <w:i w:val="0"/>
          <w:strike w:val="0"/>
          <w:noProof w:val="0"/>
          <w:color w:val="000000"/>
          <w:position w:val="0"/>
          <w:sz w:val="20"/>
          <w:u w:val="none"/>
          <w:vertAlign w:val="baseline"/>
        </w:rPr>
        <w:t> [*86] </w:t>
      </w:r>
      <w:r>
        <w:rPr>
          <w:rFonts w:ascii="arial" w:eastAsia="arial" w:hAnsi="arial" w:cs="arial"/>
          <w:b w:val="0"/>
          <w:i w:val="0"/>
          <w:strike w:val="0"/>
          <w:noProof w:val="0"/>
          <w:color w:val="000000"/>
          <w:position w:val="0"/>
          <w:sz w:val="20"/>
          <w:u w:val="none"/>
          <w:vertAlign w:val="baseline"/>
        </w:rPr>
        <w:t xml:space="preserve"> rule of lenity comes into play “only to resolve ambiguities that remain after applying all other tools of statutory construction.”</w:t>
      </w:r>
      <w:r>
        <w:rPr>
          <w:rFonts w:ascii="arial" w:eastAsia="arial" w:hAnsi="arial" w:cs="arial"/>
          <w:vertAlign w:val="superscript"/>
        </w:rPr>
        <w:footnoteReference w:customMarkFollows="1" w:id="7"/>
        <w:t xml:space="preserve">6</w:t>
      </w:r>
    </w:p>
    <w:p>
      <w:pPr>
        <w:keepNext w:val="0"/>
        <w:spacing w:before="240" w:after="0" w:line="260" w:lineRule="atLeast"/>
        <w:ind w:left="0" w:right="0" w:firstLine="0"/>
        <w:jc w:val="both"/>
      </w:pPr>
      <w:bookmarkStart w:id="36" w:name="Bookmark_LNHNREFclscc6"/>
      <w:bookmarkEnd w:id="36"/>
      <w:bookmarkStart w:id="37" w:name="Bookmark_LNHNREFclscc7"/>
      <w:bookmarkEnd w:id="37"/>
      <w:r>
        <w:rPr>
          <w:rFonts w:ascii="arial" w:eastAsia="arial" w:hAnsi="arial" w:cs="arial"/>
          <w:b w:val="0"/>
          <w:i w:val="0"/>
          <w:strike w:val="0"/>
          <w:noProof w:val="0"/>
          <w:color w:val="000000"/>
          <w:position w:val="0"/>
          <w:sz w:val="20"/>
          <w:u w:val="none"/>
          <w:vertAlign w:val="baseline"/>
        </w:rPr>
        <w:t xml:space="preserve">Here, for his armed-robbery conviction, Harper was sentenced under </w:t>
      </w:r>
      <w:bookmarkStart w:id="38" w:name="Bookmark_LNHNREFclscc8"/>
      <w:bookmarkEnd w:id="38"/>
      <w:hyperlink r:id="rId14" w:history="1">
        <w:r>
          <w:rPr>
            <w:rFonts w:ascii="arial" w:eastAsia="arial" w:hAnsi="arial" w:cs="arial"/>
            <w:b w:val="0"/>
            <w:i/>
            <w:strike w:val="0"/>
            <w:noProof w:val="0"/>
            <w:color w:val="0077CC"/>
            <w:position w:val="0"/>
            <w:sz w:val="20"/>
            <w:u w:val="single"/>
            <w:shd w:val="clear" w:color="auto" w:fill="FFFFFF"/>
            <w:vertAlign w:val="baseline"/>
          </w:rPr>
          <w:t>OCGA § 16-8-41(b)</w:t>
        </w:r>
      </w:hyperlink>
      <w:r>
        <w:rPr>
          <w:rFonts w:ascii="arial" w:eastAsia="arial" w:hAnsi="arial" w:cs="arial"/>
          <w:b w:val="0"/>
          <w:i w:val="0"/>
          <w:strike w:val="0"/>
          <w:noProof w:val="0"/>
          <w:color w:val="000000"/>
          <w:position w:val="0"/>
          <w:sz w:val="20"/>
          <w:u w:val="none"/>
          <w:vertAlign w:val="baseline"/>
        </w:rPr>
        <w:t xml:space="preserve">, which provides that “[a] person convicted of the offense of armed robbery shall be punished by death or </w:t>
      </w:r>
      <w:r>
        <w:rPr>
          <w:rFonts w:ascii="arial" w:eastAsia="arial" w:hAnsi="arial" w:cs="arial"/>
          <w:b w:val="0"/>
          <w:i/>
          <w:strike w:val="0"/>
          <w:noProof w:val="0"/>
          <w:color w:val="000000"/>
          <w:position w:val="0"/>
          <w:sz w:val="20"/>
          <w:u w:val="none"/>
          <w:vertAlign w:val="baseline"/>
        </w:rPr>
        <w:t>imprisonment for life or by imprisonment for not less than ten nor more than 20 years</w:t>
      </w:r>
      <w:r>
        <w:rPr>
          <w:rFonts w:ascii="arial" w:eastAsia="arial" w:hAnsi="arial" w:cs="arial"/>
          <w:b w:val="0"/>
          <w:i w:val="0"/>
          <w:strike w:val="0"/>
          <w:noProof w:val="0"/>
          <w:color w:val="000000"/>
          <w:position w:val="0"/>
          <w:sz w:val="20"/>
          <w:u w:val="none"/>
          <w:vertAlign w:val="baseline"/>
        </w:rPr>
        <w:t>.”</w:t>
      </w:r>
      <w:r>
        <w:rPr>
          <w:rFonts w:ascii="arial" w:eastAsia="arial" w:hAnsi="arial" w:cs="arial"/>
          <w:vertAlign w:val="superscript"/>
        </w:rPr>
        <w:footnoteReference w:customMarkFollows="1" w:id="8"/>
        <w:t xml:space="preserve">7</w:t>
      </w:r>
      <w:r>
        <w:rPr>
          <w:rFonts w:ascii="arial" w:eastAsia="arial" w:hAnsi="arial" w:cs="arial"/>
          <w:b w:val="0"/>
          <w:i w:val="0"/>
          <w:strike w:val="0"/>
          <w:noProof w:val="0"/>
          <w:color w:val="000000"/>
          <w:position w:val="0"/>
          <w:sz w:val="20"/>
          <w:u w:val="none"/>
          <w:vertAlign w:val="baseline"/>
        </w:rPr>
        <w:t xml:space="preserve"> And Harper contends this statute is ambiguous because it provides for two maximum sentences—life imprisonment and 20 years. </w:t>
      </w:r>
      <w:bookmarkStart w:id="40" w:name="Bookmark_I08J5VY8592003MB5TJ003P9"/>
      <w:bookmarkEnd w:id="40"/>
      <w:bookmarkStart w:id="41" w:name="Bookmark_I08J5VY86D6003MB5TJ003PC"/>
      <w:bookmarkEnd w:id="41"/>
      <w:r>
        <w:rPr>
          <w:rFonts w:ascii="arial" w:eastAsia="arial" w:hAnsi="arial" w:cs="arial"/>
          <w:b w:val="0"/>
          <w:i w:val="0"/>
          <w:strike w:val="0"/>
          <w:noProof w:val="0"/>
          <w:color w:val="000000"/>
          <w:position w:val="0"/>
          <w:sz w:val="20"/>
          <w:u w:val="none"/>
          <w:vertAlign w:val="baseline"/>
        </w:rPr>
        <w:t xml:space="preserve">He also argues that because the statute is ambiguous, the rule of lenity required the trial court to sentence him to the lesser maximum punishment of 20 years’ imprisonment. But this Court has already considered and rejected Harper’s argument. In </w:t>
      </w:r>
      <w:r>
        <w:rPr>
          <w:rFonts w:ascii="arial" w:eastAsia="arial" w:hAnsi="arial" w:cs="arial"/>
          <w:b w:val="0"/>
          <w:i/>
          <w:strike w:val="0"/>
          <w:noProof w:val="0"/>
          <w:color w:val="000000"/>
          <w:position w:val="0"/>
          <w:sz w:val="20"/>
          <w:u w:val="none"/>
          <w:vertAlign w:val="baseline"/>
        </w:rPr>
        <w:t>Corey v. State</w:t>
      </w:r>
      <w:r>
        <w:rPr>
          <w:rFonts w:ascii="arial" w:eastAsia="arial" w:hAnsi="arial" w:cs="arial"/>
          <w:b w:val="0"/>
          <w:i w:val="0"/>
          <w:strike w:val="0"/>
          <w:noProof w:val="0"/>
          <w:color w:val="000000"/>
          <w:position w:val="0"/>
          <w:sz w:val="20"/>
          <w:u w:val="none"/>
          <w:vertAlign w:val="baseline"/>
        </w:rPr>
        <w:t>,</w:t>
      </w:r>
      <w:r>
        <w:rPr>
          <w:rFonts w:ascii="arial" w:eastAsia="arial" w:hAnsi="arial" w:cs="arial"/>
          <w:vertAlign w:val="superscript"/>
        </w:rPr>
        <w:footnoteReference w:customMarkFollows="1" w:id="9"/>
        <w:t xml:space="preserve">8</w:t>
      </w:r>
      <w:r>
        <w:rPr>
          <w:rFonts w:ascii="arial" w:eastAsia="arial" w:hAnsi="arial" w:cs="arial"/>
          <w:b w:val="0"/>
          <w:i w:val="0"/>
          <w:strike w:val="0"/>
          <w:noProof w:val="0"/>
          <w:color w:val="000000"/>
          <w:position w:val="0"/>
          <w:sz w:val="20"/>
          <w:u w:val="none"/>
          <w:vertAlign w:val="baseline"/>
        </w:rPr>
        <w:t xml:space="preserve"> the appellant—like Harper—argued that </w:t>
      </w:r>
      <w:hyperlink r:id="rId15" w:history="1">
        <w:r>
          <w:rPr>
            <w:rFonts w:ascii="arial" w:eastAsia="arial" w:hAnsi="arial" w:cs="arial"/>
            <w:b w:val="0"/>
            <w:i/>
            <w:strike w:val="0"/>
            <w:noProof w:val="0"/>
            <w:color w:val="0077CC"/>
            <w:position w:val="0"/>
            <w:sz w:val="20"/>
            <w:u w:val="single"/>
            <w:shd w:val="clear" w:color="auto" w:fill="FFFFFF"/>
            <w:vertAlign w:val="baseline"/>
          </w:rPr>
          <w:t>OCGA § 16-8-41(b)</w:t>
        </w:r>
      </w:hyperlink>
      <w:r>
        <w:rPr>
          <w:rFonts w:ascii="arial" w:eastAsia="arial" w:hAnsi="arial" w:cs="arial"/>
          <w:b w:val="0"/>
          <w:i w:val="0"/>
          <w:strike w:val="0"/>
          <w:noProof w:val="0"/>
          <w:color w:val="000000"/>
          <w:position w:val="0"/>
          <w:sz w:val="20"/>
          <w:u w:val="none"/>
          <w:vertAlign w:val="baseline"/>
        </w:rPr>
        <w:t xml:space="preserve"> is “unconstitutionally vague because it provides two maximum sentences, one of life imprisonment and another of 20 years.”</w:t>
      </w:r>
      <w:r>
        <w:rPr>
          <w:rFonts w:ascii="arial" w:eastAsia="arial" w:hAnsi="arial" w:cs="arial"/>
          <w:vertAlign w:val="superscript"/>
        </w:rPr>
        <w:footnoteReference w:customMarkFollows="1" w:id="10"/>
        <w:t xml:space="preserve">9</w:t>
      </w:r>
      <w:r>
        <w:rPr>
          <w:rFonts w:ascii="arial" w:eastAsia="arial" w:hAnsi="arial" w:cs="arial"/>
          <w:b w:val="0"/>
          <w:i w:val="0"/>
          <w:strike w:val="0"/>
          <w:noProof w:val="0"/>
          <w:color w:val="000000"/>
          <w:position w:val="0"/>
          <w:sz w:val="20"/>
          <w:u w:val="none"/>
          <w:vertAlign w:val="baseline"/>
        </w:rPr>
        <w:t xml:space="preserve"> We disagreed, explaining that</w:t>
      </w:r>
    </w:p>
    <w:p>
      <w:pPr>
        <w:keepNext w:val="0"/>
        <w:spacing w:before="200" w:after="0" w:line="260" w:lineRule="atLeast"/>
        <w:ind w:left="400" w:right="0" w:firstLine="0"/>
        <w:jc w:val="both"/>
      </w:pPr>
      <w:bookmarkStart w:id="46" w:name="Bookmark__1"/>
      <w:bookmarkEnd w:id="46"/>
      <w:r>
        <w:rPr>
          <w:rFonts w:ascii="arial" w:eastAsia="arial" w:hAnsi="arial" w:cs="arial"/>
          <w:b w:val="0"/>
          <w:i w:val="0"/>
          <w:strike w:val="0"/>
          <w:noProof w:val="0"/>
          <w:color w:val="000000"/>
          <w:position w:val="0"/>
          <w:sz w:val="20"/>
          <w:u w:val="none"/>
          <w:vertAlign w:val="baseline"/>
        </w:rPr>
        <w:t xml:space="preserve">(1) </w:t>
      </w:r>
      <w:bookmarkStart w:id="47" w:name="Bookmark_II08HN22JV7T003RWYMN003YF"/>
      <w:bookmarkEnd w:id="47"/>
      <w:bookmarkStart w:id="48" w:name="Bookmark_I08J5VY86D6003MB5TJ003PF"/>
      <w:bookmarkEnd w:id="48"/>
      <w:r>
        <w:rPr>
          <w:rFonts w:ascii="arial" w:eastAsia="arial" w:hAnsi="arial" w:cs="arial"/>
          <w:b w:val="0"/>
          <w:i w:val="0"/>
          <w:strike w:val="0"/>
          <w:noProof w:val="0"/>
          <w:color w:val="000000"/>
          <w:position w:val="0"/>
          <w:sz w:val="20"/>
          <w:u w:val="none"/>
          <w:vertAlign w:val="baseline"/>
        </w:rPr>
        <w:t>[a]lthough</w:t>
      </w:r>
      <w:r>
        <w:rPr>
          <w:rFonts w:ascii="arial" w:eastAsia="arial" w:hAnsi="arial" w:cs="arial"/>
          <w:b w:val="0"/>
          <w:i w:val="0"/>
          <w:strike w:val="0"/>
          <w:noProof w:val="0"/>
          <w:color w:val="000000"/>
          <w:position w:val="0"/>
          <w:sz w:val="20"/>
          <w:u w:val="none"/>
          <w:vertAlign w:val="baseline"/>
        </w:rPr>
        <w:t> [***4] </w:t>
      </w:r>
      <w:r>
        <w:rPr>
          <w:rFonts w:ascii="arial" w:eastAsia="arial" w:hAnsi="arial" w:cs="arial"/>
          <w:b w:val="0"/>
          <w:i w:val="0"/>
          <w:strike w:val="0"/>
          <w:noProof w:val="0"/>
          <w:color w:val="000000"/>
          <w:position w:val="0"/>
          <w:sz w:val="20"/>
          <w:u w:val="none"/>
          <w:vertAlign w:val="baseline"/>
        </w:rPr>
        <w:t xml:space="preserve"> the statute allows the sentencing judge broad discretion, it does not provide two different maximum sentences and is not unconstitutionally vague. </w:t>
      </w:r>
      <w:bookmarkStart w:id="49" w:name="Bookmark_LNHNREFclscc9"/>
      <w:bookmarkEnd w:id="49"/>
      <w:r>
        <w:rPr>
          <w:rFonts w:ascii="arial" w:eastAsia="arial" w:hAnsi="arial" w:cs="arial"/>
          <w:b w:val="0"/>
          <w:i w:val="0"/>
          <w:strike w:val="0"/>
          <w:noProof w:val="0"/>
          <w:color w:val="000000"/>
          <w:position w:val="0"/>
          <w:sz w:val="20"/>
          <w:u w:val="none"/>
          <w:vertAlign w:val="baseline"/>
        </w:rPr>
        <w:t xml:space="preserve">The courts of this state have consistently held that the maximum penalty upon conviction for armed robbery is life imprisonment. As an alternative to imposing this maximum sentence, under </w:t>
      </w:r>
      <w:hyperlink r:id="rId16" w:history="1">
        <w:r>
          <w:rPr>
            <w:rFonts w:ascii="arial" w:eastAsia="arial" w:hAnsi="arial" w:cs="arial"/>
            <w:b w:val="0"/>
            <w:i/>
            <w:strike w:val="0"/>
            <w:noProof w:val="0"/>
            <w:color w:val="0077CC"/>
            <w:position w:val="0"/>
            <w:sz w:val="20"/>
            <w:u w:val="single"/>
            <w:shd w:val="clear" w:color="auto" w:fill="FFFFFF"/>
            <w:vertAlign w:val="baseline"/>
          </w:rPr>
          <w:t>OCGA § 16-8-41(b)</w:t>
        </w:r>
      </w:hyperlink>
      <w:r>
        <w:rPr>
          <w:rFonts w:ascii="arial" w:eastAsia="arial" w:hAnsi="arial" w:cs="arial"/>
          <w:b w:val="0"/>
          <w:i w:val="0"/>
          <w:strike w:val="0"/>
          <w:noProof w:val="0"/>
          <w:color w:val="000000"/>
          <w:position w:val="0"/>
          <w:sz w:val="20"/>
          <w:u w:val="none"/>
          <w:vertAlign w:val="baseline"/>
        </w:rPr>
        <w:t xml:space="preserve">, a </w:t>
      </w:r>
      <w:r>
        <w:rPr>
          <w:rFonts w:ascii="arial" w:eastAsia="arial" w:hAnsi="arial" w:cs="arial"/>
          <w:b w:val="0"/>
          <w:i w:val="0"/>
          <w:strike w:val="0"/>
          <w:noProof w:val="0"/>
          <w:color w:val="000000"/>
          <w:position w:val="0"/>
          <w:sz w:val="20"/>
          <w:u w:val="none"/>
          <w:vertAlign w:val="baseline"/>
        </w:rPr>
        <w:t> [**768] </w:t>
      </w:r>
      <w:r>
        <w:rPr>
          <w:rFonts w:ascii="arial" w:eastAsia="arial" w:hAnsi="arial" w:cs="arial"/>
          <w:b w:val="0"/>
          <w:i w:val="0"/>
          <w:strike w:val="0"/>
          <w:noProof w:val="0"/>
          <w:color w:val="000000"/>
          <w:position w:val="0"/>
          <w:sz w:val="20"/>
          <w:u w:val="none"/>
          <w:vertAlign w:val="baseline"/>
        </w:rPr>
        <w:t xml:space="preserve"> court also has the discretion to impose a determinable sentence of any period of time between five years and twenty years.</w:t>
      </w:r>
      <w:r>
        <w:rPr>
          <w:rFonts w:ascii="arial" w:eastAsia="arial" w:hAnsi="arial" w:cs="arial"/>
          <w:vertAlign w:val="superscript"/>
        </w:rPr>
        <w:footnoteReference w:customMarkFollows="1" w:id="11"/>
        <w:t xml:space="preserve">10</w:t>
      </w:r>
    </w:p>
    <w:p>
      <w:pPr>
        <w:keepNext w:val="0"/>
        <w:spacing w:before="200" w:after="0" w:line="260" w:lineRule="atLeast"/>
        <w:ind w:left="0" w:right="0" w:firstLine="0"/>
        <w:jc w:val="both"/>
      </w:pPr>
      <w:bookmarkStart w:id="53" w:name="Bookmark_II08HN22JV7T003RWYMN003YG"/>
      <w:bookmarkEnd w:id="53"/>
      <w:bookmarkStart w:id="54" w:name="Bookmark_II08HN22JV7T003RWYMN003YH"/>
      <w:bookmarkEnd w:id="54"/>
      <w:bookmarkStart w:id="55" w:name="Bookmark_I08J5VY86D6003MB5TJ003PH"/>
      <w:bookmarkEnd w:id="55"/>
      <w:bookmarkStart w:id="56" w:name="Bookmark_I08J5VY86WH003MB5TJ003PN"/>
      <w:bookmarkEnd w:id="56"/>
      <w:bookmarkStart w:id="57" w:name="Bookmark_I08J5VY878X003MB5TJ0042R"/>
      <w:bookmarkEnd w:id="57"/>
      <w:bookmarkStart w:id="58" w:name="Bookmark_I08J5VY878X003MB5TJ0042T"/>
      <w:bookmarkEnd w:id="58"/>
      <w:bookmarkStart w:id="59" w:name="Bookmark_I08J5VY878X003MB5TJ0042W"/>
      <w:bookmarkEnd w:id="59"/>
      <w:r>
        <w:rPr>
          <w:rFonts w:ascii="arial" w:eastAsia="arial" w:hAnsi="arial" w:cs="arial"/>
          <w:b w:val="0"/>
          <w:i w:val="0"/>
          <w:strike w:val="0"/>
          <w:noProof w:val="0"/>
          <w:color w:val="000000"/>
          <w:position w:val="0"/>
          <w:sz w:val="20"/>
          <w:u w:val="none"/>
          <w:vertAlign w:val="baseline"/>
        </w:rPr>
        <w:t xml:space="preserve">Approximately 20 years later, this Court reaffirmed this holding in </w:t>
      </w:r>
      <w:bookmarkStart w:id="60" w:name="Bookmark_I08J5VY86D6003MB5TJ003PG"/>
      <w:bookmarkEnd w:id="60"/>
      <w:hyperlink r:id="rId17" w:history="1">
        <w:r>
          <w:rPr>
            <w:rFonts w:ascii="arial" w:eastAsia="arial" w:hAnsi="arial" w:cs="arial"/>
            <w:b w:val="0"/>
            <w:i/>
            <w:strike w:val="0"/>
            <w:noProof w:val="0"/>
            <w:color w:val="0077CC"/>
            <w:position w:val="0"/>
            <w:sz w:val="20"/>
            <w:u w:val="single"/>
            <w:shd w:val="clear" w:color="auto" w:fill="FFFFFF"/>
            <w:vertAlign w:val="baseline"/>
          </w:rPr>
          <w:t>Hudson v. State</w:t>
        </w:r>
      </w:hyperlink>
      <w:hyperlink r:id="rId18" w:history="1">
        <w:r>
          <w:rPr>
            <w:rFonts w:ascii="arial" w:eastAsia="arial" w:hAnsi="arial" w:cs="arial"/>
            <w:b w:val="0"/>
            <w:i/>
            <w:strike w:val="0"/>
            <w:noProof w:val="0"/>
            <w:color w:val="0077CC"/>
            <w:position w:val="0"/>
            <w:sz w:val="20"/>
            <w:u w:val="single"/>
            <w:shd w:val="clear" w:color="auto" w:fill="FFFFFF"/>
            <w:vertAlign w:val="baseline"/>
          </w:rPr>
          <w:t>,</w:t>
        </w:r>
      </w:hyperlink>
      <w:r>
        <w:rPr>
          <w:rFonts w:ascii="arial" w:eastAsia="arial" w:hAnsi="arial" w:cs="arial"/>
          <w:vertAlign w:val="superscript"/>
        </w:rPr>
        <w:footnoteReference w:customMarkFollows="1" w:id="12"/>
        <w:t xml:space="preserve">11</w:t>
      </w:r>
      <w:r>
        <w:rPr>
          <w:rFonts w:ascii="arial" w:eastAsia="arial" w:hAnsi="arial" w:cs="arial"/>
          <w:b w:val="0"/>
          <w:i w:val="0"/>
          <w:strike w:val="0"/>
          <w:noProof w:val="0"/>
          <w:color w:val="000000"/>
          <w:position w:val="0"/>
          <w:sz w:val="20"/>
          <w:u w:val="none"/>
          <w:vertAlign w:val="baseline"/>
        </w:rPr>
        <w:t xml:space="preserve"> in which the appellant also argued that </w:t>
      </w:r>
      <w:hyperlink r:id="rId19" w:history="1">
        <w:r>
          <w:rPr>
            <w:rFonts w:ascii="arial" w:eastAsia="arial" w:hAnsi="arial" w:cs="arial"/>
            <w:b w:val="0"/>
            <w:i/>
            <w:strike w:val="0"/>
            <w:noProof w:val="0"/>
            <w:color w:val="0077CC"/>
            <w:position w:val="0"/>
            <w:sz w:val="20"/>
            <w:u w:val="single"/>
            <w:shd w:val="clear" w:color="auto" w:fill="FFFFFF"/>
            <w:vertAlign w:val="baseline"/>
          </w:rPr>
          <w:t>OCGA § 16-8-41(b)</w:t>
        </w:r>
      </w:hyperlink>
      <w:r>
        <w:rPr>
          <w:rFonts w:ascii="arial" w:eastAsia="arial" w:hAnsi="arial" w:cs="arial"/>
          <w:b w:val="0"/>
          <w:i w:val="0"/>
          <w:strike w:val="0"/>
          <w:noProof w:val="0"/>
          <w:color w:val="000000"/>
          <w:position w:val="0"/>
          <w:sz w:val="20"/>
          <w:u w:val="none"/>
          <w:vertAlign w:val="baseline"/>
        </w:rPr>
        <w:t xml:space="preserve"> “provides different gradations of punishment for the same offense[,] [and] ... as a result of this ambiguity, the rule of lenity requires that he be sentenced to a term of years, which, compared to life imprisonment, is the lesser punishment.”</w:t>
      </w:r>
      <w:r>
        <w:rPr>
          <w:rFonts w:ascii="arial" w:eastAsia="arial" w:hAnsi="arial" w:cs="arial"/>
          <w:vertAlign w:val="superscript"/>
        </w:rPr>
        <w:footnoteReference w:customMarkFollows="1" w:id="13"/>
        <w:t xml:space="preserve">12</w:t>
      </w:r>
      <w:r>
        <w:rPr>
          <w:rFonts w:ascii="arial" w:eastAsia="arial" w:hAnsi="arial" w:cs="arial"/>
          <w:b w:val="0"/>
          <w:i w:val="0"/>
          <w:strike w:val="0"/>
          <w:noProof w:val="0"/>
          <w:color w:val="000000"/>
          <w:position w:val="0"/>
          <w:sz w:val="20"/>
          <w:u w:val="none"/>
          <w:vertAlign w:val="baseline"/>
        </w:rPr>
        <w:t xml:space="preserve"> Relying</w:t>
      </w:r>
      <w:r>
        <w:rPr>
          <w:rFonts w:ascii="arial" w:eastAsia="arial" w:hAnsi="arial" w:cs="arial"/>
          <w:b w:val="0"/>
          <w:i w:val="0"/>
          <w:strike w:val="0"/>
          <w:noProof w:val="0"/>
          <w:color w:val="000000"/>
          <w:position w:val="0"/>
          <w:sz w:val="20"/>
          <w:u w:val="none"/>
          <w:vertAlign w:val="baseline"/>
        </w:rPr>
        <w:t> [*87] </w:t>
      </w:r>
      <w:r>
        <w:rPr>
          <w:rFonts w:ascii="arial" w:eastAsia="arial" w:hAnsi="arial" w:cs="arial"/>
          <w:b w:val="0"/>
          <w:i w:val="0"/>
          <w:strike w:val="0"/>
          <w:noProof w:val="0"/>
          <w:color w:val="000000"/>
          <w:position w:val="0"/>
          <w:sz w:val="20"/>
          <w:u w:val="none"/>
          <w:vertAlign w:val="baseline"/>
        </w:rPr>
        <w:t xml:space="preserve"> on </w:t>
      </w:r>
      <w:bookmarkStart w:id="65" w:name="Bookmark_I08J5VY86WH003MB5TJ003PJ"/>
      <w:bookmarkEnd w:id="65"/>
      <w:hyperlink r:id="rId20" w:history="1">
        <w:r>
          <w:rPr>
            <w:rFonts w:ascii="arial" w:eastAsia="arial" w:hAnsi="arial" w:cs="arial"/>
            <w:b w:val="0"/>
            <w:i/>
            <w:strike w:val="0"/>
            <w:noProof w:val="0"/>
            <w:color w:val="0077CC"/>
            <w:position w:val="0"/>
            <w:sz w:val="20"/>
            <w:u w:val="single"/>
            <w:shd w:val="clear" w:color="auto" w:fill="FFFFFF"/>
            <w:vertAlign w:val="baseline"/>
          </w:rPr>
          <w:t>Corey</w:t>
        </w:r>
      </w:hyperlink>
      <w:hyperlink r:id="rId21" w:history="1">
        <w:r>
          <w:rPr>
            <w:rFonts w:ascii="arial" w:eastAsia="arial" w:hAnsi="arial" w:cs="arial"/>
            <w:b w:val="0"/>
            <w:i/>
            <w:strike w:val="0"/>
            <w:noProof w:val="0"/>
            <w:color w:val="0077CC"/>
            <w:position w:val="0"/>
            <w:sz w:val="20"/>
            <w:u w:val="single"/>
            <w:shd w:val="clear" w:color="auto" w:fill="FFFFFF"/>
            <w:vertAlign w:val="baseline"/>
          </w:rPr>
          <w:t xml:space="preserve">, </w:t>
        </w:r>
      </w:hyperlink>
      <w:r>
        <w:rPr>
          <w:rFonts w:ascii="arial" w:eastAsia="arial" w:hAnsi="arial" w:cs="arial"/>
          <w:b w:val="0"/>
          <w:i w:val="0"/>
          <w:strike w:val="0"/>
          <w:noProof w:val="0"/>
          <w:color w:val="000000"/>
          <w:position w:val="0"/>
          <w:sz w:val="20"/>
          <w:u w:val="none"/>
          <w:vertAlign w:val="baseline"/>
        </w:rPr>
        <w:t xml:space="preserve"> we affirmed the appellant’s life sentence for armed robbery, concluding that “[b]ecause </w:t>
      </w:r>
      <w:hyperlink r:id="rId22" w:history="1">
        <w:r>
          <w:rPr>
            <w:rFonts w:ascii="arial" w:eastAsia="arial" w:hAnsi="arial" w:cs="arial"/>
            <w:b w:val="0"/>
            <w:i/>
            <w:strike w:val="0"/>
            <w:noProof w:val="0"/>
            <w:color w:val="0077CC"/>
            <w:position w:val="0"/>
            <w:sz w:val="20"/>
            <w:u w:val="single"/>
            <w:shd w:val="clear" w:color="auto" w:fill="FFFFFF"/>
            <w:vertAlign w:val="baseline"/>
          </w:rPr>
          <w:t>OCGA § 16-8-41(b)</w:t>
        </w:r>
      </w:hyperlink>
      <w:r>
        <w:rPr>
          <w:rFonts w:ascii="arial" w:eastAsia="arial" w:hAnsi="arial" w:cs="arial"/>
          <w:b w:val="0"/>
          <w:i w:val="0"/>
          <w:strike w:val="0"/>
          <w:noProof w:val="0"/>
          <w:color w:val="000000"/>
          <w:position w:val="0"/>
          <w:sz w:val="20"/>
          <w:u w:val="none"/>
          <w:vertAlign w:val="baseline"/>
        </w:rPr>
        <w:t xml:space="preserve"> is not ambiguous in its provision for a maximum sentence of life imprisonment, and because [the appellant’s] sentence of life imprisonment falls within the statutory range of punishment, his sentence is not void.”</w:t>
      </w:r>
      <w:r>
        <w:rPr>
          <w:rFonts w:ascii="arial" w:eastAsia="arial" w:hAnsi="arial" w:cs="arial"/>
          <w:b w:val="0"/>
          <w:i w:val="0"/>
          <w:strike w:val="0"/>
          <w:noProof w:val="0"/>
          <w:color w:val="000000"/>
          <w:position w:val="0"/>
          <w:sz w:val="20"/>
          <w:u w:val="none"/>
          <w:vertAlign w:val="baseline"/>
        </w:rPr>
        <w:t> [***5] </w:t>
      </w:r>
      <w:r>
        <w:rPr>
          <w:rFonts w:ascii="arial" w:eastAsia="arial" w:hAnsi="arial" w:cs="arial"/>
          <w:vertAlign w:val="superscript"/>
        </w:rPr>
        <w:footnoteReference w:customMarkFollows="1" w:id="14"/>
        <w:t xml:space="preserve">13</w:t>
      </w:r>
      <w:r>
        <w:rPr>
          <w:rFonts w:ascii="arial" w:eastAsia="arial" w:hAnsi="arial" w:cs="arial"/>
          <w:b w:val="0"/>
          <w:i w:val="0"/>
          <w:strike w:val="0"/>
          <w:noProof w:val="0"/>
          <w:color w:val="000000"/>
          <w:position w:val="0"/>
          <w:sz w:val="20"/>
          <w:u w:val="none"/>
          <w:vertAlign w:val="baseline"/>
        </w:rPr>
        <w:t xml:space="preserve"> This Court also rejected the appellant’s argument that the rule of lenity had been “expanded” since </w:t>
      </w:r>
      <w:r>
        <w:rPr>
          <w:rFonts w:ascii="arial" w:eastAsia="arial" w:hAnsi="arial" w:cs="arial"/>
          <w:b w:val="0"/>
          <w:i/>
          <w:strike w:val="0"/>
          <w:noProof w:val="0"/>
          <w:color w:val="000000"/>
          <w:position w:val="0"/>
          <w:sz w:val="20"/>
          <w:u w:val="none"/>
          <w:vertAlign w:val="baseline"/>
        </w:rPr>
        <w:t>Corey</w:t>
      </w:r>
      <w:r>
        <w:rPr>
          <w:rFonts w:ascii="arial" w:eastAsia="arial" w:hAnsi="arial" w:cs="arial"/>
          <w:b w:val="0"/>
          <w:i w:val="0"/>
          <w:strike w:val="0"/>
          <w:noProof w:val="0"/>
          <w:color w:val="000000"/>
          <w:position w:val="0"/>
          <w:sz w:val="20"/>
          <w:u w:val="none"/>
          <w:vertAlign w:val="baseline"/>
        </w:rPr>
        <w:t>.</w:t>
      </w:r>
      <w:r>
        <w:rPr>
          <w:rFonts w:ascii="arial" w:eastAsia="arial" w:hAnsi="arial" w:cs="arial"/>
          <w:vertAlign w:val="superscript"/>
        </w:rPr>
        <w:footnoteReference w:customMarkFollows="1" w:id="15"/>
        <w:t xml:space="preserve">14</w:t>
      </w:r>
    </w:p>
    <w:p>
      <w:pPr>
        <w:keepNext w:val="0"/>
        <w:spacing w:before="200" w:after="0" w:line="260" w:lineRule="atLeast"/>
        <w:ind w:left="0" w:right="0" w:firstLine="0"/>
        <w:jc w:val="both"/>
      </w:pPr>
      <w:bookmarkStart w:id="70" w:name="Bookmark_I08J5VY87F6003MB5TJ0042Y"/>
      <w:bookmarkEnd w:id="70"/>
      <w:bookmarkStart w:id="71" w:name="Bookmark_I08J5VY87F6003MB5TJ00431"/>
      <w:bookmarkEnd w:id="71"/>
      <w:bookmarkStart w:id="72" w:name="Bookmark_I08J5VY887V003MB5TJ00435"/>
      <w:bookmarkEnd w:id="72"/>
      <w:r>
        <w:rPr>
          <w:rFonts w:ascii="arial" w:eastAsia="arial" w:hAnsi="arial" w:cs="arial"/>
          <w:b w:val="0"/>
          <w:i w:val="0"/>
          <w:strike w:val="0"/>
          <w:noProof w:val="0"/>
          <w:color w:val="000000"/>
          <w:position w:val="0"/>
          <w:sz w:val="20"/>
          <w:u w:val="none"/>
          <w:vertAlign w:val="baseline"/>
        </w:rPr>
        <w:t>Simply put, these prior decisions are binding until reversed or overruled by this Court or our Supreme Court, and we must adhere to the authority of those cases which, in our view, “state the correct principle of law.”</w:t>
      </w:r>
      <w:r>
        <w:rPr>
          <w:rFonts w:ascii="arial" w:eastAsia="arial" w:hAnsi="arial" w:cs="arial"/>
          <w:vertAlign w:val="superscript"/>
        </w:rPr>
        <w:footnoteReference w:customMarkFollows="1" w:id="16"/>
        <w:t xml:space="preserve">15</w:t>
      </w:r>
      <w:r>
        <w:rPr>
          <w:rFonts w:ascii="arial" w:eastAsia="arial" w:hAnsi="arial" w:cs="arial"/>
          <w:b w:val="0"/>
          <w:i w:val="0"/>
          <w:strike w:val="0"/>
          <w:noProof w:val="0"/>
          <w:color w:val="000000"/>
          <w:position w:val="0"/>
          <w:sz w:val="20"/>
          <w:u w:val="none"/>
          <w:vertAlign w:val="baseline"/>
        </w:rPr>
        <w:t xml:space="preserve"> And notably, while the Supreme Court of Georgia has not directly addressed this issue, it did deny the appellant’s request for certiorari review in </w:t>
      </w:r>
      <w:r>
        <w:rPr>
          <w:rFonts w:ascii="arial" w:eastAsia="arial" w:hAnsi="arial" w:cs="arial"/>
          <w:b w:val="0"/>
          <w:i/>
          <w:strike w:val="0"/>
          <w:noProof w:val="0"/>
          <w:color w:val="000000"/>
          <w:position w:val="0"/>
          <w:sz w:val="20"/>
          <w:u w:val="none"/>
          <w:vertAlign w:val="baseline"/>
        </w:rPr>
        <w:t>Hudson</w:t>
      </w:r>
      <w:r>
        <w:rPr>
          <w:rFonts w:ascii="arial" w:eastAsia="arial" w:hAnsi="arial" w:cs="arial"/>
          <w:b w:val="0"/>
          <w:i w:val="0"/>
          <w:strike w:val="0"/>
          <w:noProof w:val="0"/>
          <w:color w:val="000000"/>
          <w:position w:val="0"/>
          <w:sz w:val="20"/>
          <w:u w:val="none"/>
          <w:vertAlign w:val="baseline"/>
        </w:rPr>
        <w:t xml:space="preserve">, which affirmed this Court’s holding in </w:t>
      </w:r>
      <w:r>
        <w:rPr>
          <w:rFonts w:ascii="arial" w:eastAsia="arial" w:hAnsi="arial" w:cs="arial"/>
          <w:b w:val="0"/>
          <w:i/>
          <w:strike w:val="0"/>
          <w:noProof w:val="0"/>
          <w:color w:val="000000"/>
          <w:position w:val="0"/>
          <w:sz w:val="20"/>
          <w:u w:val="none"/>
          <w:vertAlign w:val="baseline"/>
        </w:rPr>
        <w:t>Corey</w:t>
      </w:r>
      <w:r>
        <w:rPr>
          <w:rFonts w:ascii="arial" w:eastAsia="arial" w:hAnsi="arial" w:cs="arial"/>
          <w:b w:val="0"/>
          <w:i w:val="0"/>
          <w:strike w:val="0"/>
          <w:noProof w:val="0"/>
          <w:color w:val="000000"/>
          <w:position w:val="0"/>
          <w:sz w:val="20"/>
          <w:u w:val="none"/>
          <w:vertAlign w:val="baseline"/>
        </w:rPr>
        <w:t>.</w:t>
      </w:r>
      <w:r>
        <w:rPr>
          <w:rFonts w:ascii="arial" w:eastAsia="arial" w:hAnsi="arial" w:cs="arial"/>
          <w:vertAlign w:val="superscript"/>
        </w:rPr>
        <w:footnoteReference w:customMarkFollows="1" w:id="17"/>
        <w:t xml:space="preserve">16</w:t>
      </w:r>
      <w:r>
        <w:rPr>
          <w:rFonts w:ascii="arial" w:eastAsia="arial" w:hAnsi="arial" w:cs="arial"/>
          <w:b w:val="0"/>
          <w:i w:val="0"/>
          <w:strike w:val="0"/>
          <w:noProof w:val="0"/>
          <w:color w:val="000000"/>
          <w:position w:val="0"/>
          <w:sz w:val="20"/>
          <w:u w:val="none"/>
          <w:vertAlign w:val="baseline"/>
        </w:rPr>
        <w:t xml:space="preserve"> So, given the foregoing, the trial court did not err in sentencing Harper to life imprisonment for armed robbery.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all these reasons, we affirm Harper’s sentence.</w:t>
      </w:r>
    </w:p>
    <w:p>
      <w:pPr>
        <w:keepNext w:val="0"/>
        <w:spacing w:before="200" w:after="0" w:line="260" w:lineRule="atLeast"/>
        <w:ind w:left="0" w:right="0" w:firstLine="0"/>
        <w:jc w:val="both"/>
      </w:pPr>
      <w:r>
        <w:rPr>
          <w:rFonts w:ascii="arial" w:eastAsia="arial" w:hAnsi="arial" w:cs="arial"/>
          <w:b w:val="0"/>
          <w:i/>
          <w:strike w:val="0"/>
          <w:noProof w:val="0"/>
          <w:color w:val="000000"/>
          <w:position w:val="0"/>
          <w:sz w:val="20"/>
          <w:u w:val="none"/>
          <w:vertAlign w:val="baseline"/>
        </w:rPr>
        <w:t>Judgment affirmed. Mercier, J., and Senior Judge C. Andrew Fuller concur</w:t>
      </w:r>
      <w:r>
        <w:rPr>
          <w:rFonts w:ascii="arial" w:eastAsia="arial" w:hAnsi="arial" w:cs="arial"/>
          <w:b w:val="0"/>
          <w:i w:val="0"/>
          <w:strike w:val="0"/>
          <w:noProof w:val="0"/>
          <w:color w:val="000000"/>
          <w:position w:val="0"/>
          <w:sz w:val="20"/>
          <w:u w:val="none"/>
          <w:vertAlign w:val="baseline"/>
        </w:rPr>
        <w:t>.</w:t>
      </w:r>
    </w:p>
    <w:p/>
    <w:p>
      <w:pPr>
        <w:ind w:left="200"/>
      </w:pPr>
      <w:r>
        <w:br/>
      </w:r>
      <w:r>
        <w:pict>
          <v:line id="_x0000_s1026"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num="1"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pPr>
        <w:spacing w:after="0" w:line="240" w:lineRule="auto"/>
      </w:pPr>
      <w:r>
        <w:separator/>
      </w:r>
    </w:p>
  </w:footnote>
  <w:footnote w:type="continuationSeparator" w:id="1">
    <w:p>
      <w:pPr>
        <w:spacing w:after="0" w:line="240" w:lineRule="auto"/>
      </w:pPr>
      <w:r>
        <w:continuationSeparator/>
      </w:r>
    </w:p>
  </w:footnote>
  <w:footnote w:id="2">
    <w:p>
      <w:pPr>
        <w:spacing w:before="120" w:line="240" w:lineRule="atLeast"/>
        <w:jc w:val="both"/>
      </w:pPr>
      <w:r>
        <w:rPr>
          <w:rFonts w:ascii="arial" w:eastAsia="arial" w:hAnsi="arial" w:cs="arial"/>
          <w:b w:val="0"/>
          <w:i w:val="0"/>
          <w:strike w:val="0"/>
          <w:noProof w:val="0"/>
          <w:color w:val="000000"/>
          <w:position w:val="0"/>
          <w:sz w:val="18"/>
          <w:u w:val="none"/>
          <w:vertAlign w:val="superscript"/>
        </w:rPr>
        <w:t>1 </w:t>
      </w:r>
      <w:bookmarkStart w:id="10" w:name="Bookmark_fnpara_1"/>
      <w:bookmarkEnd w:id="10"/>
      <w:r>
        <w:rPr>
          <w:rFonts w:ascii="arial" w:eastAsia="arial" w:hAnsi="arial" w:cs="arial"/>
          <w:b w:val="0"/>
          <w:i w:val="0"/>
          <w:strike w:val="0"/>
          <w:noProof w:val="0"/>
          <w:color w:val="000000"/>
          <w:position w:val="0"/>
          <w:sz w:val="18"/>
          <w:u w:val="none"/>
          <w:vertAlign w:val="baseline"/>
        </w:rPr>
        <w:t>All other charges against Harper were nolle prossed, and his conviction for possession of a firearm in the commission of a felony is not at issue in this appeal.</w:t>
      </w:r>
    </w:p>
  </w:footnote>
  <w:footnote w:id="3">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2 </w:t>
      </w:r>
      <w:bookmarkStart w:id="12" w:name="Bookmark_fnpara_2"/>
      <w:bookmarkEnd w:id="12"/>
      <w:bookmarkStart w:id="13" w:name="Bookmark_LNHNREFclscc2"/>
      <w:bookmarkEnd w:id="13"/>
      <w:r>
        <w:rPr>
          <w:rFonts w:ascii="arial" w:eastAsia="arial" w:hAnsi="arial" w:cs="arial"/>
          <w:b w:val="0"/>
          <w:i w:val="0"/>
          <w:strike w:val="0"/>
          <w:noProof w:val="0"/>
          <w:color w:val="000000"/>
          <w:position w:val="0"/>
          <w:sz w:val="18"/>
          <w:u w:val="none"/>
          <w:vertAlign w:val="baseline"/>
        </w:rPr>
        <w:t xml:space="preserve">See </w:t>
      </w:r>
      <w:hyperlink r:id="rId1" w:history="1">
        <w:r>
          <w:rPr>
            <w:rFonts w:ascii="arial" w:eastAsia="arial" w:hAnsi="arial" w:cs="arial"/>
            <w:b w:val="0"/>
            <w:i/>
            <w:strike w:val="0"/>
            <w:noProof w:val="0"/>
            <w:color w:val="0077CC"/>
            <w:position w:val="0"/>
            <w:sz w:val="18"/>
            <w:u w:val="single"/>
            <w:shd w:val="clear" w:color="auto" w:fill="FFFFFF"/>
            <w:vertAlign w:val="baseline"/>
          </w:rPr>
          <w:t>OCGA § 17-10-7(c)</w:t>
        </w:r>
      </w:hyperlink>
      <w:r>
        <w:rPr>
          <w:rFonts w:ascii="arial" w:eastAsia="arial" w:hAnsi="arial" w:cs="arial"/>
          <w:b w:val="0"/>
          <w:i w:val="0"/>
          <w:strike w:val="0"/>
          <w:noProof w:val="0"/>
          <w:color w:val="000000"/>
          <w:position w:val="0"/>
          <w:sz w:val="18"/>
          <w:u w:val="none"/>
          <w:vertAlign w:val="baseline"/>
        </w:rPr>
        <w:t xml:space="preserve"> (“Except as otherwise provided in </w:t>
      </w:r>
      <w:hyperlink r:id="rId2" w:history="1">
        <w:r>
          <w:rPr>
            <w:rFonts w:ascii="arial" w:eastAsia="arial" w:hAnsi="arial" w:cs="arial"/>
            <w:b w:val="0"/>
            <w:i/>
            <w:strike w:val="0"/>
            <w:noProof w:val="0"/>
            <w:color w:val="0077CC"/>
            <w:position w:val="0"/>
            <w:sz w:val="18"/>
            <w:u w:val="single"/>
            <w:shd w:val="clear" w:color="auto" w:fill="FFFFFF"/>
            <w:vertAlign w:val="baseline"/>
          </w:rPr>
          <w:t>subsection (b)</w:t>
        </w:r>
      </w:hyperlink>
      <w:r>
        <w:rPr>
          <w:rFonts w:ascii="arial" w:eastAsia="arial" w:hAnsi="arial" w:cs="arial"/>
          <w:b w:val="0"/>
          <w:i w:val="0"/>
          <w:strike w:val="0"/>
          <w:noProof w:val="0"/>
          <w:color w:val="000000"/>
          <w:position w:val="0"/>
          <w:sz w:val="18"/>
          <w:u w:val="none"/>
          <w:vertAlign w:val="baseline"/>
        </w:rPr>
        <w:t xml:space="preserve"> or </w:t>
      </w:r>
      <w:hyperlink r:id="rId3" w:history="1">
        <w:r>
          <w:rPr>
            <w:rFonts w:ascii="arial" w:eastAsia="arial" w:hAnsi="arial" w:cs="arial"/>
            <w:b w:val="0"/>
            <w:i/>
            <w:strike w:val="0"/>
            <w:noProof w:val="0"/>
            <w:color w:val="0077CC"/>
            <w:position w:val="0"/>
            <w:sz w:val="18"/>
            <w:u w:val="single"/>
            <w:shd w:val="clear" w:color="auto" w:fill="FFFFFF"/>
            <w:vertAlign w:val="baseline"/>
          </w:rPr>
          <w:t>(b.1)</w:t>
        </w:r>
      </w:hyperlink>
      <w:r>
        <w:rPr>
          <w:rFonts w:ascii="arial" w:eastAsia="arial" w:hAnsi="arial" w:cs="arial"/>
          <w:b w:val="0"/>
          <w:i w:val="0"/>
          <w:strike w:val="0"/>
          <w:noProof w:val="0"/>
          <w:color w:val="000000"/>
          <w:position w:val="0"/>
          <w:sz w:val="18"/>
          <w:u w:val="none"/>
          <w:vertAlign w:val="baseline"/>
        </w:rPr>
        <w:t xml:space="preserve"> of this Code section and </w:t>
      </w:r>
      <w:hyperlink r:id="rId4" w:history="1">
        <w:r>
          <w:rPr>
            <w:rFonts w:ascii="arial" w:eastAsia="arial" w:hAnsi="arial" w:cs="arial"/>
            <w:b w:val="0"/>
            <w:i/>
            <w:strike w:val="0"/>
            <w:noProof w:val="0"/>
            <w:color w:val="0077CC"/>
            <w:position w:val="0"/>
            <w:sz w:val="18"/>
            <w:u w:val="single"/>
            <w:shd w:val="clear" w:color="auto" w:fill="FFFFFF"/>
            <w:vertAlign w:val="baseline"/>
          </w:rPr>
          <w:t>subsection (b) of Code Section 42-9-45</w:t>
        </w:r>
      </w:hyperlink>
      <w:r>
        <w:rPr>
          <w:rFonts w:ascii="arial" w:eastAsia="arial" w:hAnsi="arial" w:cs="arial"/>
          <w:b w:val="0"/>
          <w:i w:val="0"/>
          <w:strike w:val="0"/>
          <w:noProof w:val="0"/>
          <w:color w:val="000000"/>
          <w:position w:val="0"/>
          <w:sz w:val="18"/>
          <w:u w:val="none"/>
          <w:vertAlign w:val="baseline"/>
        </w:rPr>
        <w:t xml:space="preserve">, any person who, after having been convicted under the laws of this state for three felonies or having been convicted under the laws of any other state or of the United States of three crimes which if committed within this state would be felonies, commits a felony within this state shall, upon conviction for such fourth offense or for subsequent offenses, </w:t>
      </w:r>
      <w:r>
        <w:rPr>
          <w:rFonts w:ascii="arial" w:eastAsia="arial" w:hAnsi="arial" w:cs="arial"/>
          <w:b w:val="0"/>
          <w:i/>
          <w:strike w:val="0"/>
          <w:noProof w:val="0"/>
          <w:color w:val="000000"/>
          <w:position w:val="0"/>
          <w:sz w:val="18"/>
          <w:u w:val="none"/>
          <w:vertAlign w:val="baseline"/>
        </w:rPr>
        <w:t>serve the maximum time provided in the sentence of the judge based upon such conviction and shall not be</w:t>
      </w:r>
      <w:r>
        <w:rPr>
          <w:rFonts w:ascii="arial" w:eastAsia="arial" w:hAnsi="arial" w:cs="arial"/>
          <w:b w:val="0"/>
          <w:i/>
          <w:strike w:val="0"/>
          <w:noProof w:val="0"/>
          <w:color w:val="000000"/>
          <w:position w:val="0"/>
          <w:sz w:val="18"/>
          <w:u w:val="none"/>
          <w:vertAlign w:val="baseline"/>
        </w:rPr>
        <w:t> [***2] </w:t>
      </w:r>
      <w:r>
        <w:rPr>
          <w:rFonts w:ascii="arial" w:eastAsia="arial" w:hAnsi="arial" w:cs="arial"/>
          <w:b w:val="0"/>
          <w:i/>
          <w:strike w:val="0"/>
          <w:noProof w:val="0"/>
          <w:color w:val="000000"/>
          <w:position w:val="0"/>
          <w:sz w:val="18"/>
          <w:u w:val="none"/>
          <w:vertAlign w:val="baseline"/>
        </w:rPr>
        <w:t xml:space="preserve"> eligible for parole until the maximum sentence has been served</w:t>
      </w:r>
      <w:r>
        <w:rPr>
          <w:rFonts w:ascii="arial" w:eastAsia="arial" w:hAnsi="arial" w:cs="arial"/>
          <w:b w:val="0"/>
          <w:i w:val="0"/>
          <w:strike w:val="0"/>
          <w:noProof w:val="0"/>
          <w:color w:val="000000"/>
          <w:position w:val="0"/>
          <w:sz w:val="18"/>
          <w:u w:val="none"/>
          <w:vertAlign w:val="baseline"/>
        </w:rPr>
        <w:t xml:space="preserve">.” (emphasis added)). It is undisputed that Harper had at least three prior felony convictions, and thus was qualified to be sentenced under </w:t>
      </w:r>
      <w:hyperlink r:id="rId5" w:history="1">
        <w:r>
          <w:rPr>
            <w:rFonts w:ascii="arial" w:eastAsia="arial" w:hAnsi="arial" w:cs="arial"/>
            <w:b w:val="0"/>
            <w:i/>
            <w:strike w:val="0"/>
            <w:noProof w:val="0"/>
            <w:color w:val="0077CC"/>
            <w:position w:val="0"/>
            <w:sz w:val="18"/>
            <w:u w:val="single"/>
            <w:shd w:val="clear" w:color="auto" w:fill="FFFFFF"/>
            <w:vertAlign w:val="baseline"/>
          </w:rPr>
          <w:t>OCGA § 17-10-7(c)</w:t>
        </w:r>
      </w:hyperlink>
      <w:r>
        <w:rPr>
          <w:rFonts w:ascii="arial" w:eastAsia="arial" w:hAnsi="arial" w:cs="arial"/>
          <w:b w:val="0"/>
          <w:i w:val="0"/>
          <w:strike w:val="0"/>
          <w:noProof w:val="0"/>
          <w:color w:val="000000"/>
          <w:position w:val="0"/>
          <w:sz w:val="18"/>
          <w:u w:val="none"/>
          <w:vertAlign w:val="baseline"/>
        </w:rPr>
        <w:t>.</w:t>
      </w:r>
    </w:p>
  </w:footnote>
  <w:footnote w:id="4">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3 </w:t>
      </w:r>
      <w:bookmarkStart w:id="17" w:name="Bookmark_fnpara_3"/>
      <w:bookmarkEnd w:id="17"/>
      <w:bookmarkStart w:id="18" w:name="Bookmark_LNHNREFclscc4"/>
      <w:bookmarkEnd w:id="18"/>
      <w:r>
        <w:rPr>
          <w:rFonts w:ascii="arial" w:eastAsia="arial" w:hAnsi="arial" w:cs="arial"/>
          <w:b w:val="0"/>
          <w:i w:val="0"/>
          <w:strike w:val="0"/>
          <w:noProof w:val="0"/>
          <w:color w:val="000000"/>
          <w:position w:val="0"/>
          <w:sz w:val="18"/>
          <w:u w:val="none"/>
          <w:vertAlign w:val="baseline"/>
        </w:rPr>
        <w:t xml:space="preserve">Although </w:t>
      </w:r>
      <w:hyperlink r:id="rId6" w:history="1">
        <w:r>
          <w:rPr>
            <w:rFonts w:ascii="arial" w:eastAsia="arial" w:hAnsi="arial" w:cs="arial"/>
            <w:b w:val="0"/>
            <w:i/>
            <w:strike w:val="0"/>
            <w:noProof w:val="0"/>
            <w:color w:val="0077CC"/>
            <w:position w:val="0"/>
            <w:sz w:val="18"/>
            <w:u w:val="single"/>
            <w:shd w:val="clear" w:color="auto" w:fill="FFFFFF"/>
            <w:vertAlign w:val="baseline"/>
          </w:rPr>
          <w:t>OCGA § 16-8-41(b)</w:t>
        </w:r>
      </w:hyperlink>
      <w:r>
        <w:rPr>
          <w:rFonts w:ascii="arial" w:eastAsia="arial" w:hAnsi="arial" w:cs="arial"/>
          <w:b w:val="0"/>
          <w:i w:val="0"/>
          <w:strike w:val="0"/>
          <w:noProof w:val="0"/>
          <w:color w:val="000000"/>
          <w:position w:val="0"/>
          <w:sz w:val="18"/>
          <w:u w:val="none"/>
          <w:vertAlign w:val="baseline"/>
        </w:rPr>
        <w:t xml:space="preserve"> provides that a defendant convicted of armed robbery may be sentenced to death, and </w:t>
      </w:r>
      <w:hyperlink r:id="rId7" w:history="1">
        <w:r>
          <w:rPr>
            <w:rFonts w:ascii="arial" w:eastAsia="arial" w:hAnsi="arial" w:cs="arial"/>
            <w:b w:val="0"/>
            <w:i/>
            <w:strike w:val="0"/>
            <w:noProof w:val="0"/>
            <w:color w:val="0077CC"/>
            <w:position w:val="0"/>
            <w:sz w:val="18"/>
            <w:u w:val="single"/>
            <w:shd w:val="clear" w:color="auto" w:fill="FFFFFF"/>
            <w:vertAlign w:val="baseline"/>
          </w:rPr>
          <w:t>OCGA § 17-10-7(c)</w:t>
        </w:r>
      </w:hyperlink>
      <w:r>
        <w:rPr>
          <w:rFonts w:ascii="arial" w:eastAsia="arial" w:hAnsi="arial" w:cs="arial"/>
          <w:b w:val="0"/>
          <w:i w:val="0"/>
          <w:strike w:val="0"/>
          <w:noProof w:val="0"/>
          <w:color w:val="000000"/>
          <w:position w:val="0"/>
          <w:sz w:val="18"/>
          <w:u w:val="none"/>
          <w:vertAlign w:val="baseline"/>
        </w:rPr>
        <w:t xml:space="preserve"> required the trial court to impose the maximum sentence available for that offense, our Supreme Court has held that “the armed robbery statute must be construed as allowing for the imposition of a life sentence or a determinate sentence, whether or not the offender was sentenced as a recidivist.” </w:t>
      </w:r>
      <w:bookmarkStart w:id="19" w:name="Bookmark_I08J5VY8592003MB5TJ003P6"/>
      <w:bookmarkEnd w:id="19"/>
      <w:hyperlink r:id="rId8" w:history="1">
        <w:r>
          <w:rPr>
            <w:rFonts w:ascii="arial" w:eastAsia="arial" w:hAnsi="arial" w:cs="arial"/>
            <w:b w:val="0"/>
            <w:i/>
            <w:strike w:val="0"/>
            <w:noProof w:val="0"/>
            <w:color w:val="0077CC"/>
            <w:position w:val="0"/>
            <w:sz w:val="18"/>
            <w:u w:val="single"/>
            <w:shd w:val="clear" w:color="auto" w:fill="FFFFFF"/>
            <w:vertAlign w:val="baseline"/>
          </w:rPr>
          <w:t>Worley v. State</w:t>
        </w:r>
      </w:hyperlink>
      <w:hyperlink r:id="rId9" w:history="1">
        <w:r>
          <w:rPr>
            <w:rFonts w:ascii="arial" w:eastAsia="arial" w:hAnsi="arial" w:cs="arial"/>
            <w:b w:val="0"/>
            <w:i/>
            <w:strike w:val="0"/>
            <w:noProof w:val="0"/>
            <w:color w:val="0077CC"/>
            <w:position w:val="0"/>
            <w:sz w:val="18"/>
            <w:u w:val="single"/>
            <w:shd w:val="clear" w:color="auto" w:fill="FFFFFF"/>
            <w:vertAlign w:val="baseline"/>
          </w:rPr>
          <w:t>, 265 Ga. 251, 253(1) (454 SE2d 461) (1995)</w:t>
        </w:r>
      </w:hyperlink>
      <w:r>
        <w:rPr>
          <w:rFonts w:ascii="arial" w:eastAsia="arial" w:hAnsi="arial" w:cs="arial"/>
          <w:b w:val="0"/>
          <w:i w:val="0"/>
          <w:strike w:val="0"/>
          <w:noProof w:val="0"/>
          <w:color w:val="000000"/>
          <w:position w:val="0"/>
          <w:sz w:val="18"/>
          <w:u w:val="none"/>
          <w:vertAlign w:val="baseline"/>
        </w:rPr>
        <w:t>.</w:t>
      </w:r>
    </w:p>
  </w:footnote>
  <w:footnote w:id="5">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4 </w:t>
      </w:r>
      <w:bookmarkStart w:id="25" w:name="Bookmark_fnpara_4"/>
      <w:bookmarkEnd w:id="25"/>
      <w:bookmarkStart w:id="26" w:name="Bookmark_I08J5JWCBNH003MBJ6G0003H"/>
      <w:bookmarkEnd w:id="26"/>
      <w:hyperlink r:id="rId10" w:history="1">
        <w:r>
          <w:rPr>
            <w:rFonts w:ascii="arial" w:eastAsia="arial" w:hAnsi="arial" w:cs="arial"/>
            <w:b w:val="0"/>
            <w:i/>
            <w:strike w:val="0"/>
            <w:noProof w:val="0"/>
            <w:color w:val="0077CC"/>
            <w:position w:val="0"/>
            <w:sz w:val="18"/>
            <w:u w:val="single"/>
            <w:shd w:val="clear" w:color="auto" w:fill="FFFFFF"/>
            <w:vertAlign w:val="baseline"/>
          </w:rPr>
          <w:t>United States v. Lanier</w:t>
        </w:r>
      </w:hyperlink>
      <w:hyperlink r:id="rId11" w:history="1">
        <w:r>
          <w:rPr>
            <w:rFonts w:ascii="arial" w:eastAsia="arial" w:hAnsi="arial" w:cs="arial"/>
            <w:b w:val="0"/>
            <w:i/>
            <w:strike w:val="0"/>
            <w:noProof w:val="0"/>
            <w:color w:val="0077CC"/>
            <w:position w:val="0"/>
            <w:sz w:val="18"/>
            <w:u w:val="single"/>
            <w:shd w:val="clear" w:color="auto" w:fill="FFFFFF"/>
            <w:vertAlign w:val="baseline"/>
          </w:rPr>
          <w:t>, 520 US 259, 266(II) (117 SCt 1219, 137 LE2d 432) (1997)</w:t>
        </w:r>
      </w:hyperlink>
      <w:r>
        <w:rPr>
          <w:rFonts w:ascii="arial" w:eastAsia="arial" w:hAnsi="arial" w:cs="arial"/>
          <w:b w:val="0"/>
          <w:i w:val="0"/>
          <w:strike w:val="0"/>
          <w:noProof w:val="0"/>
          <w:color w:val="000000"/>
          <w:position w:val="0"/>
          <w:sz w:val="18"/>
          <w:u w:val="none"/>
          <w:vertAlign w:val="baseline"/>
        </w:rPr>
        <w:t xml:space="preserve"> (punctuation omitted). Accord </w:t>
      </w:r>
      <w:bookmarkStart w:id="27" w:name="Bookmark_I08J5JWCBNH003MBJ6G0003K"/>
      <w:bookmarkEnd w:id="27"/>
      <w:hyperlink r:id="rId12" w:history="1">
        <w:r>
          <w:rPr>
            <w:rFonts w:ascii="arial" w:eastAsia="arial" w:hAnsi="arial" w:cs="arial"/>
            <w:b w:val="0"/>
            <w:i/>
            <w:strike w:val="0"/>
            <w:noProof w:val="0"/>
            <w:color w:val="0077CC"/>
            <w:position w:val="0"/>
            <w:sz w:val="18"/>
            <w:u w:val="single"/>
            <w:shd w:val="clear" w:color="auto" w:fill="FFFFFF"/>
            <w:vertAlign w:val="baseline"/>
          </w:rPr>
          <w:t>McNair v. State</w:t>
        </w:r>
      </w:hyperlink>
      <w:hyperlink r:id="rId13" w:history="1">
        <w:r>
          <w:rPr>
            <w:rFonts w:ascii="arial" w:eastAsia="arial" w:hAnsi="arial" w:cs="arial"/>
            <w:b w:val="0"/>
            <w:i/>
            <w:strike w:val="0"/>
            <w:noProof w:val="0"/>
            <w:color w:val="0077CC"/>
            <w:position w:val="0"/>
            <w:sz w:val="18"/>
            <w:u w:val="single"/>
            <w:shd w:val="clear" w:color="auto" w:fill="FFFFFF"/>
            <w:vertAlign w:val="baseline"/>
          </w:rPr>
          <w:t>, 293 Ga. 282, 283 (745 SE2d 646) (2013)</w:t>
        </w:r>
      </w:hyperlink>
      <w:r>
        <w:rPr>
          <w:rFonts w:ascii="arial" w:eastAsia="arial" w:hAnsi="arial" w:cs="arial"/>
          <w:b w:val="0"/>
          <w:i w:val="0"/>
          <w:strike w:val="0"/>
          <w:noProof w:val="0"/>
          <w:color w:val="000000"/>
          <w:position w:val="0"/>
          <w:sz w:val="18"/>
          <w:u w:val="none"/>
          <w:vertAlign w:val="baseline"/>
        </w:rPr>
        <w:t>.</w:t>
      </w:r>
    </w:p>
  </w:footnote>
  <w:footnote w:id="6">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5 </w:t>
      </w:r>
      <w:bookmarkStart w:id="28" w:name="Bookmark_fnpara_5"/>
      <w:bookmarkEnd w:id="28"/>
      <w:bookmarkStart w:id="29" w:name="Bookmark_I08J5JWCCJ2003MBJ6G0003R"/>
      <w:bookmarkEnd w:id="29"/>
      <w:bookmarkStart w:id="30" w:name="Bookmark_I08J5JWCCJ2003MBJ6G0003T"/>
      <w:bookmarkEnd w:id="30"/>
      <w:bookmarkStart w:id="31" w:name="Bookmark_I08J5JWCBNH003MBJ6G0003N"/>
      <w:bookmarkEnd w:id="31"/>
      <w:hyperlink r:id="rId14" w:history="1">
        <w:r>
          <w:rPr>
            <w:rFonts w:ascii="arial" w:eastAsia="arial" w:hAnsi="arial" w:cs="arial"/>
            <w:b w:val="0"/>
            <w:i/>
            <w:strike w:val="0"/>
            <w:noProof w:val="0"/>
            <w:color w:val="0077CC"/>
            <w:position w:val="0"/>
            <w:sz w:val="18"/>
            <w:u w:val="single"/>
            <w:shd w:val="clear" w:color="auto" w:fill="FFFFFF"/>
            <w:vertAlign w:val="baseline"/>
          </w:rPr>
          <w:t>Gordon v. State</w:t>
        </w:r>
      </w:hyperlink>
      <w:hyperlink r:id="rId15" w:history="1">
        <w:r>
          <w:rPr>
            <w:rFonts w:ascii="arial" w:eastAsia="arial" w:hAnsi="arial" w:cs="arial"/>
            <w:b w:val="0"/>
            <w:i/>
            <w:strike w:val="0"/>
            <w:noProof w:val="0"/>
            <w:color w:val="0077CC"/>
            <w:position w:val="0"/>
            <w:sz w:val="18"/>
            <w:u w:val="single"/>
            <w:shd w:val="clear" w:color="auto" w:fill="FFFFFF"/>
            <w:vertAlign w:val="baseline"/>
          </w:rPr>
          <w:t>, 334 Ga. App. 633, 634 (780 SE2d 376) (2015)</w:t>
        </w:r>
      </w:hyperlink>
      <w:r>
        <w:rPr>
          <w:rFonts w:ascii="arial" w:eastAsia="arial" w:hAnsi="arial" w:cs="arial"/>
          <w:b w:val="0"/>
          <w:i w:val="0"/>
          <w:strike w:val="0"/>
          <w:noProof w:val="0"/>
          <w:color w:val="000000"/>
          <w:position w:val="0"/>
          <w:sz w:val="18"/>
          <w:u w:val="none"/>
          <w:vertAlign w:val="baseline"/>
        </w:rPr>
        <w:t xml:space="preserve"> (punctuation omitted). See </w:t>
      </w:r>
      <w:bookmarkStart w:id="32" w:name="Bookmark_I08J5JWCCJ2003MBJ6G0003S"/>
      <w:bookmarkEnd w:id="32"/>
      <w:hyperlink r:id="rId16" w:history="1">
        <w:r>
          <w:rPr>
            <w:rFonts w:ascii="arial" w:eastAsia="arial" w:hAnsi="arial" w:cs="arial"/>
            <w:b w:val="0"/>
            <w:i/>
            <w:strike w:val="0"/>
            <w:noProof w:val="0"/>
            <w:color w:val="0077CC"/>
            <w:position w:val="0"/>
            <w:sz w:val="18"/>
            <w:u w:val="single"/>
            <w:shd w:val="clear" w:color="auto" w:fill="FFFFFF"/>
            <w:vertAlign w:val="baseline"/>
          </w:rPr>
          <w:t>McNair</w:t>
        </w:r>
      </w:hyperlink>
      <w:hyperlink r:id="rId17" w:history="1">
        <w:r>
          <w:rPr>
            <w:rFonts w:ascii="arial" w:eastAsia="arial" w:hAnsi="arial" w:cs="arial"/>
            <w:b w:val="0"/>
            <w:i/>
            <w:strike w:val="0"/>
            <w:noProof w:val="0"/>
            <w:color w:val="0077CC"/>
            <w:position w:val="0"/>
            <w:sz w:val="18"/>
            <w:u w:val="single"/>
            <w:shd w:val="clear" w:color="auto" w:fill="FFFFFF"/>
            <w:vertAlign w:val="baseline"/>
          </w:rPr>
          <w:t>, 293 Ga. at 283</w:t>
        </w:r>
      </w:hyperlink>
      <w:r>
        <w:rPr>
          <w:rFonts w:ascii="arial" w:eastAsia="arial" w:hAnsi="arial" w:cs="arial"/>
          <w:b w:val="0"/>
          <w:i w:val="0"/>
          <w:strike w:val="0"/>
          <w:noProof w:val="0"/>
          <w:color w:val="000000"/>
          <w:position w:val="0"/>
          <w:sz w:val="18"/>
          <w:u w:val="none"/>
          <w:vertAlign w:val="baseline"/>
        </w:rPr>
        <w:t xml:space="preserve"> (noting that the rule of lenity provides that statutory ambiguity is resolved in favor of the defendant, who will then receive the lesser punishment). See also Antonin Scalia &amp; Bryan A. Garner, Reading Law: The Interpretation of Legal Texts 299 (1st ed. 2012) (noting that the rule-of-lenity canon is justified by the well-established precept that “when the government means to punish, its commands must be reasonably clear”).</w:t>
      </w:r>
    </w:p>
  </w:footnote>
  <w:footnote w:id="7">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6 </w:t>
      </w:r>
      <w:bookmarkStart w:id="33" w:name="Bookmark_fnpara_6"/>
      <w:bookmarkEnd w:id="33"/>
      <w:bookmarkStart w:id="34" w:name="Bookmark_I08J5JWCCJ2003MBJ6G0003V"/>
      <w:bookmarkEnd w:id="34"/>
      <w:hyperlink r:id="rId18" w:history="1">
        <w:r>
          <w:rPr>
            <w:rFonts w:ascii="arial" w:eastAsia="arial" w:hAnsi="arial" w:cs="arial"/>
            <w:b w:val="0"/>
            <w:i/>
            <w:strike w:val="0"/>
            <w:noProof w:val="0"/>
            <w:color w:val="0077CC"/>
            <w:position w:val="0"/>
            <w:sz w:val="18"/>
            <w:u w:val="single"/>
            <w:shd w:val="clear" w:color="auto" w:fill="FFFFFF"/>
            <w:vertAlign w:val="baseline"/>
          </w:rPr>
          <w:t>State v. Nankervis</w:t>
        </w:r>
      </w:hyperlink>
      <w:hyperlink r:id="rId19" w:history="1">
        <w:r>
          <w:rPr>
            <w:rFonts w:ascii="arial" w:eastAsia="arial" w:hAnsi="arial" w:cs="arial"/>
            <w:b w:val="0"/>
            <w:i/>
            <w:strike w:val="0"/>
            <w:noProof w:val="0"/>
            <w:color w:val="0077CC"/>
            <w:position w:val="0"/>
            <w:sz w:val="18"/>
            <w:u w:val="single"/>
            <w:shd w:val="clear" w:color="auto" w:fill="FFFFFF"/>
            <w:vertAlign w:val="baseline"/>
          </w:rPr>
          <w:t>, 295 Ga. 406, 409(2) (761 SE2d 1) (2014)</w:t>
        </w:r>
      </w:hyperlink>
      <w:r>
        <w:rPr>
          <w:rFonts w:ascii="arial" w:eastAsia="arial" w:hAnsi="arial" w:cs="arial"/>
          <w:b w:val="0"/>
          <w:i w:val="0"/>
          <w:strike w:val="0"/>
          <w:noProof w:val="0"/>
          <w:color w:val="000000"/>
          <w:position w:val="0"/>
          <w:sz w:val="18"/>
          <w:u w:val="none"/>
          <w:vertAlign w:val="baseline"/>
        </w:rPr>
        <w:t xml:space="preserve"> (punctuation omitted). See </w:t>
      </w:r>
      <w:bookmarkStart w:id="35" w:name="Bookmark_I08J5JWCD4Y003MBJ6G0003X"/>
      <w:bookmarkEnd w:id="35"/>
      <w:hyperlink r:id="rId20" w:history="1">
        <w:r>
          <w:rPr>
            <w:rFonts w:ascii="arial" w:eastAsia="arial" w:hAnsi="arial" w:cs="arial"/>
            <w:b w:val="0"/>
            <w:i/>
            <w:strike w:val="0"/>
            <w:noProof w:val="0"/>
            <w:color w:val="0077CC"/>
            <w:position w:val="0"/>
            <w:sz w:val="18"/>
            <w:u w:val="single"/>
            <w:shd w:val="clear" w:color="auto" w:fill="FFFFFF"/>
            <w:vertAlign w:val="baseline"/>
          </w:rPr>
          <w:t>Woods v. State</w:t>
        </w:r>
      </w:hyperlink>
      <w:hyperlink r:id="rId21" w:history="1">
        <w:r>
          <w:rPr>
            <w:rFonts w:ascii="arial" w:eastAsia="arial" w:hAnsi="arial" w:cs="arial"/>
            <w:b w:val="0"/>
            <w:i/>
            <w:strike w:val="0"/>
            <w:noProof w:val="0"/>
            <w:color w:val="0077CC"/>
            <w:position w:val="0"/>
            <w:sz w:val="18"/>
            <w:u w:val="single"/>
            <w:shd w:val="clear" w:color="auto" w:fill="FFFFFF"/>
            <w:vertAlign w:val="baseline"/>
          </w:rPr>
          <w:t>, 279 Ga. 28, 31(3) (608 SE2d 631) (2005)</w:t>
        </w:r>
      </w:hyperlink>
      <w:r>
        <w:rPr>
          <w:rFonts w:ascii="arial" w:eastAsia="arial" w:hAnsi="arial" w:cs="arial"/>
          <w:b w:val="0"/>
          <w:i w:val="0"/>
          <w:strike w:val="0"/>
          <w:noProof w:val="0"/>
          <w:color w:val="000000"/>
          <w:position w:val="0"/>
          <w:sz w:val="18"/>
          <w:u w:val="none"/>
          <w:vertAlign w:val="baseline"/>
        </w:rPr>
        <w:t xml:space="preserve"> (holding that when a crime is penalized by a special law, the general provisions of the penal code are not applicable).</w:t>
      </w:r>
    </w:p>
  </w:footnote>
  <w:footnote w:id="8">
    <w:p>
      <w:pPr>
        <w:spacing w:before="120" w:line="240" w:lineRule="atLeast"/>
        <w:jc w:val="both"/>
      </w:pPr>
      <w:r>
        <w:rPr>
          <w:rFonts w:ascii="arial" w:eastAsia="arial" w:hAnsi="arial" w:cs="arial"/>
          <w:b w:val="0"/>
          <w:i w:val="0"/>
          <w:strike w:val="0"/>
          <w:noProof w:val="0"/>
          <w:color w:val="000000"/>
          <w:position w:val="0"/>
          <w:sz w:val="18"/>
          <w:u w:val="none"/>
          <w:vertAlign w:val="superscript"/>
        </w:rPr>
        <w:t>7 </w:t>
      </w:r>
      <w:bookmarkStart w:id="39" w:name="Bookmark_fnpara_7"/>
      <w:bookmarkEnd w:id="39"/>
      <w:r>
        <w:rPr>
          <w:rFonts w:ascii="arial" w:eastAsia="arial" w:hAnsi="arial" w:cs="arial"/>
          <w:b w:val="0"/>
          <w:i w:val="0"/>
          <w:strike w:val="0"/>
          <w:noProof w:val="0"/>
          <w:color w:val="000000"/>
          <w:position w:val="0"/>
          <w:sz w:val="18"/>
          <w:u w:val="none"/>
          <w:vertAlign w:val="baseline"/>
        </w:rPr>
        <w:t>(Emphasis added).</w:t>
      </w:r>
    </w:p>
  </w:footnote>
  <w:footnote w:id="9">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8 </w:t>
      </w:r>
      <w:bookmarkStart w:id="42" w:name="Bookmark_fnpara_8"/>
      <w:bookmarkEnd w:id="42"/>
      <w:bookmarkStart w:id="43" w:name="Bookmark_I08J5VY8592003MB5TJ003P8"/>
      <w:bookmarkEnd w:id="43"/>
      <w:hyperlink r:id="rId22" w:history="1">
        <w:r>
          <w:rPr>
            <w:rFonts w:ascii="arial" w:eastAsia="arial" w:hAnsi="arial" w:cs="arial"/>
            <w:b w:val="0"/>
            <w:i/>
            <w:strike w:val="0"/>
            <w:noProof w:val="0"/>
            <w:color w:val="0077CC"/>
            <w:position w:val="0"/>
            <w:sz w:val="18"/>
            <w:u w:val="single"/>
            <w:shd w:val="clear" w:color="auto" w:fill="FFFFFF"/>
            <w:vertAlign w:val="baseline"/>
          </w:rPr>
          <w:t>216 Ga. App. 180 (454 SE2d 154) (1995)</w:t>
        </w:r>
      </w:hyperlink>
      <w:r>
        <w:rPr>
          <w:rFonts w:ascii="arial" w:eastAsia="arial" w:hAnsi="arial" w:cs="arial"/>
          <w:b w:val="0"/>
          <w:i w:val="0"/>
          <w:strike w:val="0"/>
          <w:noProof w:val="0"/>
          <w:color w:val="000000"/>
          <w:position w:val="0"/>
          <w:sz w:val="18"/>
          <w:u w:val="none"/>
          <w:vertAlign w:val="baseline"/>
        </w:rPr>
        <w:t>.</w:t>
      </w:r>
    </w:p>
  </w:footnote>
  <w:footnote w:id="10">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9 </w:t>
      </w:r>
      <w:bookmarkStart w:id="44" w:name="Bookmark_fnpara_9"/>
      <w:bookmarkEnd w:id="44"/>
      <w:bookmarkStart w:id="45" w:name="Bookmark_I08J5VY8592003MB5TJ003PB"/>
      <w:bookmarkEnd w:id="45"/>
      <w:hyperlink r:id="rId23" w:history="1">
        <w:r>
          <w:rPr>
            <w:rFonts w:ascii="arial" w:eastAsia="arial" w:hAnsi="arial" w:cs="arial"/>
            <w:b w:val="0"/>
            <w:i/>
            <w:strike w:val="0"/>
            <w:noProof w:val="0"/>
            <w:color w:val="0077CC"/>
            <w:position w:val="0"/>
            <w:sz w:val="18"/>
            <w:u w:val="single"/>
            <w:shd w:val="clear" w:color="auto" w:fill="FFFFFF"/>
            <w:vertAlign w:val="baseline"/>
          </w:rPr>
          <w:t>Id. at 180</w:t>
        </w:r>
      </w:hyperlink>
      <w:r>
        <w:rPr>
          <w:rFonts w:ascii="arial" w:eastAsia="arial" w:hAnsi="arial" w:cs="arial"/>
          <w:b w:val="0"/>
          <w:i w:val="0"/>
          <w:strike w:val="0"/>
          <w:noProof w:val="0"/>
          <w:color w:val="000000"/>
          <w:position w:val="0"/>
          <w:sz w:val="18"/>
          <w:u w:val="none"/>
          <w:vertAlign w:val="baseline"/>
        </w:rPr>
        <w:t>.</w:t>
      </w:r>
    </w:p>
  </w:footnote>
  <w:footnote w:id="11">
    <w:p>
      <w:pPr>
        <w:keepNext w:val="0"/>
        <w:spacing w:before="20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10 </w:t>
      </w:r>
      <w:bookmarkStart w:id="50" w:name="Bookmark_fnpara_10"/>
      <w:bookmarkEnd w:id="50"/>
      <w:bookmarkStart w:id="51" w:name="Bookmark_I08J5VY86D6003MB5TJ003PD"/>
      <w:bookmarkEnd w:id="51"/>
      <w:hyperlink r:id="rId24" w:history="1">
        <w:r>
          <w:rPr>
            <w:rFonts w:ascii="arial" w:eastAsia="arial" w:hAnsi="arial" w:cs="arial"/>
            <w:b w:val="0"/>
            <w:i/>
            <w:strike w:val="0"/>
            <w:noProof w:val="0"/>
            <w:color w:val="0077CC"/>
            <w:position w:val="0"/>
            <w:sz w:val="18"/>
            <w:u w:val="single"/>
            <w:shd w:val="clear" w:color="auto" w:fill="FFFFFF"/>
            <w:vertAlign w:val="baseline"/>
          </w:rPr>
          <w:t>Id.</w:t>
        </w:r>
      </w:hyperlink>
      <w:r>
        <w:rPr>
          <w:rFonts w:ascii="arial" w:eastAsia="arial" w:hAnsi="arial" w:cs="arial"/>
          <w:b w:val="0"/>
          <w:i w:val="0"/>
          <w:strike w:val="0"/>
          <w:noProof w:val="0"/>
          <w:color w:val="000000"/>
          <w:position w:val="0"/>
          <w:sz w:val="18"/>
          <w:u w:val="none"/>
          <w:vertAlign w:val="baseline"/>
        </w:rPr>
        <w:t xml:space="preserve"> (citation and punctuation omitted). As previously noted, </w:t>
      </w:r>
      <w:bookmarkStart w:id="52" w:name="Bookmark_LNHNREFclscc10"/>
      <w:bookmarkEnd w:id="52"/>
      <w:r>
        <w:rPr>
          <w:rFonts w:ascii="arial" w:eastAsia="arial" w:hAnsi="arial" w:cs="arial"/>
          <w:b w:val="0"/>
          <w:i w:val="0"/>
          <w:strike w:val="0"/>
          <w:noProof w:val="0"/>
          <w:color w:val="000000"/>
          <w:position w:val="0"/>
          <w:sz w:val="18"/>
          <w:u w:val="none"/>
          <w:vertAlign w:val="baseline"/>
        </w:rPr>
        <w:t xml:space="preserve">the current version of </w:t>
      </w:r>
      <w:hyperlink r:id="rId25" w:history="1">
        <w:r>
          <w:rPr>
            <w:rFonts w:ascii="arial" w:eastAsia="arial" w:hAnsi="arial" w:cs="arial"/>
            <w:b w:val="0"/>
            <w:i/>
            <w:strike w:val="0"/>
            <w:noProof w:val="0"/>
            <w:color w:val="0077CC"/>
            <w:position w:val="0"/>
            <w:sz w:val="18"/>
            <w:u w:val="single"/>
            <w:shd w:val="clear" w:color="auto" w:fill="FFFFFF"/>
            <w:vertAlign w:val="baseline"/>
          </w:rPr>
          <w:t>OCGA § 16-8-41(b)</w:t>
        </w:r>
      </w:hyperlink>
      <w:r>
        <w:rPr>
          <w:rFonts w:ascii="arial" w:eastAsia="arial" w:hAnsi="arial" w:cs="arial"/>
          <w:b w:val="0"/>
          <w:i w:val="0"/>
          <w:strike w:val="0"/>
          <w:noProof w:val="0"/>
          <w:color w:val="000000"/>
          <w:position w:val="0"/>
          <w:sz w:val="18"/>
          <w:u w:val="none"/>
          <w:vertAlign w:val="baseline"/>
        </w:rPr>
        <w:t xml:space="preserve"> provides courts with discretion to impose a determinable sentence of any time between </w:t>
      </w:r>
      <w:r>
        <w:rPr>
          <w:rFonts w:ascii="arial" w:eastAsia="arial" w:hAnsi="arial" w:cs="arial"/>
          <w:b w:val="0"/>
          <w:i/>
          <w:strike w:val="0"/>
          <w:noProof w:val="0"/>
          <w:color w:val="000000"/>
          <w:position w:val="0"/>
          <w:sz w:val="18"/>
          <w:u w:val="none"/>
          <w:vertAlign w:val="baseline"/>
        </w:rPr>
        <w:t>ten</w:t>
      </w:r>
      <w:r>
        <w:rPr>
          <w:rFonts w:ascii="arial" w:eastAsia="arial" w:hAnsi="arial" w:cs="arial"/>
          <w:b w:val="0"/>
          <w:i w:val="0"/>
          <w:strike w:val="0"/>
          <w:noProof w:val="0"/>
          <w:color w:val="000000"/>
          <w:position w:val="0"/>
          <w:sz w:val="18"/>
          <w:u w:val="none"/>
          <w:vertAlign w:val="baseline"/>
        </w:rPr>
        <w:t xml:space="preserve"> and 20 years.</w:t>
      </w:r>
    </w:p>
  </w:footnote>
  <w:footnote w:id="12">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11 </w:t>
      </w:r>
      <w:bookmarkStart w:id="61" w:name="Bookmark_fnpara_11"/>
      <w:bookmarkEnd w:id="61"/>
      <w:bookmarkStart w:id="62" w:name="Bookmark_I08J5VY86WH003MB5TJ003PM"/>
      <w:bookmarkEnd w:id="62"/>
      <w:hyperlink r:id="rId26" w:history="1">
        <w:r>
          <w:rPr>
            <w:rFonts w:ascii="arial" w:eastAsia="arial" w:hAnsi="arial" w:cs="arial"/>
            <w:b w:val="0"/>
            <w:i/>
            <w:strike w:val="0"/>
            <w:noProof w:val="0"/>
            <w:color w:val="0077CC"/>
            <w:position w:val="0"/>
            <w:sz w:val="18"/>
            <w:u w:val="single"/>
            <w:shd w:val="clear" w:color="auto" w:fill="FFFFFF"/>
            <w:vertAlign w:val="baseline"/>
          </w:rPr>
          <w:t>334 Ga. App. 166 (778 SE2d 406) (2015)</w:t>
        </w:r>
      </w:hyperlink>
      <w:r>
        <w:rPr>
          <w:rFonts w:ascii="arial" w:eastAsia="arial" w:hAnsi="arial" w:cs="arial"/>
          <w:b w:val="0"/>
          <w:i w:val="0"/>
          <w:strike w:val="0"/>
          <w:noProof w:val="0"/>
          <w:color w:val="000000"/>
          <w:position w:val="0"/>
          <w:sz w:val="18"/>
          <w:u w:val="none"/>
          <w:vertAlign w:val="baseline"/>
        </w:rPr>
        <w:t>.</w:t>
      </w:r>
    </w:p>
  </w:footnote>
  <w:footnote w:id="13">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12 </w:t>
      </w:r>
      <w:bookmarkStart w:id="63" w:name="Bookmark_fnpara_12"/>
      <w:bookmarkEnd w:id="63"/>
      <w:bookmarkStart w:id="64" w:name="Bookmark_I08J5VY86WH003MB5TJ003PP"/>
      <w:bookmarkEnd w:id="64"/>
      <w:hyperlink r:id="rId27" w:history="1">
        <w:r>
          <w:rPr>
            <w:rFonts w:ascii="arial" w:eastAsia="arial" w:hAnsi="arial" w:cs="arial"/>
            <w:b w:val="0"/>
            <w:i/>
            <w:strike w:val="0"/>
            <w:noProof w:val="0"/>
            <w:color w:val="0077CC"/>
            <w:position w:val="0"/>
            <w:sz w:val="18"/>
            <w:u w:val="single"/>
            <w:shd w:val="clear" w:color="auto" w:fill="FFFFFF"/>
            <w:vertAlign w:val="baseline"/>
          </w:rPr>
          <w:t>Id. at 167–68(2)</w:t>
        </w:r>
      </w:hyperlink>
      <w:r>
        <w:rPr>
          <w:rFonts w:ascii="arial" w:eastAsia="arial" w:hAnsi="arial" w:cs="arial"/>
          <w:b w:val="0"/>
          <w:i w:val="0"/>
          <w:strike w:val="0"/>
          <w:noProof w:val="0"/>
          <w:color w:val="000000"/>
          <w:position w:val="0"/>
          <w:sz w:val="18"/>
          <w:u w:val="none"/>
          <w:vertAlign w:val="baseline"/>
        </w:rPr>
        <w:t xml:space="preserve"> (footnote omitted).</w:t>
      </w:r>
    </w:p>
  </w:footnote>
  <w:footnote w:id="14">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13 </w:t>
      </w:r>
      <w:bookmarkStart w:id="66" w:name="Bookmark_fnpara_13"/>
      <w:bookmarkEnd w:id="66"/>
      <w:bookmarkStart w:id="67" w:name="Bookmark_I08J5VY878X003MB5TJ0042S"/>
      <w:bookmarkEnd w:id="67"/>
      <w:hyperlink r:id="rId28" w:history="1">
        <w:r>
          <w:rPr>
            <w:rFonts w:ascii="arial" w:eastAsia="arial" w:hAnsi="arial" w:cs="arial"/>
            <w:b w:val="0"/>
            <w:i/>
            <w:strike w:val="0"/>
            <w:noProof w:val="0"/>
            <w:color w:val="0077CC"/>
            <w:position w:val="0"/>
            <w:sz w:val="18"/>
            <w:u w:val="single"/>
            <w:shd w:val="clear" w:color="auto" w:fill="FFFFFF"/>
            <w:vertAlign w:val="baseline"/>
          </w:rPr>
          <w:t>Id. at 169(2)</w:t>
        </w:r>
      </w:hyperlink>
      <w:r>
        <w:rPr>
          <w:rFonts w:ascii="arial" w:eastAsia="arial" w:hAnsi="arial" w:cs="arial"/>
          <w:b w:val="0"/>
          <w:i w:val="0"/>
          <w:strike w:val="0"/>
          <w:noProof w:val="0"/>
          <w:color w:val="000000"/>
          <w:position w:val="0"/>
          <w:sz w:val="18"/>
          <w:u w:val="none"/>
          <w:vertAlign w:val="baseline"/>
        </w:rPr>
        <w:t>.</w:t>
      </w:r>
    </w:p>
  </w:footnote>
  <w:footnote w:id="15">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14 </w:t>
      </w:r>
      <w:bookmarkStart w:id="68" w:name="Bookmark_fnpara_14"/>
      <w:bookmarkEnd w:id="68"/>
      <w:r>
        <w:rPr>
          <w:rFonts w:ascii="arial" w:eastAsia="arial" w:hAnsi="arial" w:cs="arial"/>
          <w:b w:val="0"/>
          <w:i w:val="0"/>
          <w:strike w:val="0"/>
          <w:noProof w:val="0"/>
          <w:color w:val="000000"/>
          <w:position w:val="0"/>
          <w:sz w:val="18"/>
          <w:u w:val="none"/>
          <w:vertAlign w:val="baseline"/>
        </w:rPr>
        <w:t xml:space="preserve">See </w:t>
      </w:r>
      <w:bookmarkStart w:id="69" w:name="Bookmark_I08J5VY878X003MB5TJ0042V"/>
      <w:bookmarkEnd w:id="69"/>
      <w:hyperlink r:id="rId29" w:history="1">
        <w:r>
          <w:rPr>
            <w:rFonts w:ascii="arial" w:eastAsia="arial" w:hAnsi="arial" w:cs="arial"/>
            <w:b w:val="0"/>
            <w:i/>
            <w:strike w:val="0"/>
            <w:noProof w:val="0"/>
            <w:color w:val="0077CC"/>
            <w:position w:val="0"/>
            <w:sz w:val="18"/>
            <w:u w:val="single"/>
            <w:shd w:val="clear" w:color="auto" w:fill="FFFFFF"/>
            <w:vertAlign w:val="baseline"/>
          </w:rPr>
          <w:t>id</w:t>
        </w:r>
      </w:hyperlink>
      <w:r>
        <w:rPr>
          <w:rFonts w:ascii="arial" w:eastAsia="arial" w:hAnsi="arial" w:cs="arial"/>
          <w:b w:val="0"/>
          <w:i w:val="0"/>
          <w:strike w:val="0"/>
          <w:noProof w:val="0"/>
          <w:color w:val="000000"/>
          <w:position w:val="0"/>
          <w:sz w:val="18"/>
          <w:u w:val="none"/>
          <w:vertAlign w:val="baseline"/>
        </w:rPr>
        <w:t>.</w:t>
      </w:r>
    </w:p>
  </w:footnote>
  <w:footnote w:id="16">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15 </w:t>
      </w:r>
      <w:bookmarkStart w:id="73" w:name="Bookmark_fnpara_15"/>
      <w:bookmarkEnd w:id="73"/>
      <w:bookmarkStart w:id="74" w:name="Bookmark_I08J5VY87F6003MB5TJ0042X"/>
      <w:bookmarkEnd w:id="74"/>
      <w:hyperlink r:id="rId30" w:history="1">
        <w:r>
          <w:rPr>
            <w:rFonts w:ascii="arial" w:eastAsia="arial" w:hAnsi="arial" w:cs="arial"/>
            <w:b w:val="0"/>
            <w:i/>
            <w:strike w:val="0"/>
            <w:noProof w:val="0"/>
            <w:color w:val="0077CC"/>
            <w:position w:val="0"/>
            <w:sz w:val="18"/>
            <w:u w:val="single"/>
            <w:shd w:val="clear" w:color="auto" w:fill="FFFFFF"/>
            <w:vertAlign w:val="baseline"/>
          </w:rPr>
          <w:t>White v. State</w:t>
        </w:r>
      </w:hyperlink>
      <w:hyperlink r:id="rId31" w:history="1">
        <w:r>
          <w:rPr>
            <w:rFonts w:ascii="arial" w:eastAsia="arial" w:hAnsi="arial" w:cs="arial"/>
            <w:b w:val="0"/>
            <w:i/>
            <w:strike w:val="0"/>
            <w:noProof w:val="0"/>
            <w:color w:val="0077CC"/>
            <w:position w:val="0"/>
            <w:sz w:val="18"/>
            <w:u w:val="single"/>
            <w:shd w:val="clear" w:color="auto" w:fill="FFFFFF"/>
            <w:vertAlign w:val="baseline"/>
          </w:rPr>
          <w:t>, 305 Ga. 111, 121(3) (823 SE2d 794) (2019)</w:t>
        </w:r>
      </w:hyperlink>
      <w:r>
        <w:rPr>
          <w:rFonts w:ascii="arial" w:eastAsia="arial" w:hAnsi="arial" w:cs="arial"/>
          <w:b w:val="0"/>
          <w:i w:val="0"/>
          <w:strike w:val="0"/>
          <w:noProof w:val="0"/>
          <w:color w:val="000000"/>
          <w:position w:val="0"/>
          <w:sz w:val="18"/>
          <w:u w:val="none"/>
          <w:vertAlign w:val="baseline"/>
        </w:rPr>
        <w:t xml:space="preserve">. See </w:t>
      </w:r>
      <w:bookmarkStart w:id="75" w:name="Bookmark_I08J5VY87F6003MB5TJ00430"/>
      <w:bookmarkEnd w:id="75"/>
      <w:hyperlink r:id="rId32" w:history="1">
        <w:r>
          <w:rPr>
            <w:rFonts w:ascii="arial" w:eastAsia="arial" w:hAnsi="arial" w:cs="arial"/>
            <w:b w:val="0"/>
            <w:i/>
            <w:strike w:val="0"/>
            <w:noProof w:val="0"/>
            <w:color w:val="0077CC"/>
            <w:position w:val="0"/>
            <w:sz w:val="18"/>
            <w:u w:val="single"/>
            <w:shd w:val="clear" w:color="auto" w:fill="FFFFFF"/>
            <w:vertAlign w:val="baseline"/>
          </w:rPr>
          <w:t>Pak v. Ga. Dep’t of Behavioral Health &amp; Developmental Disabilities</w:t>
        </w:r>
      </w:hyperlink>
      <w:hyperlink r:id="rId33" w:history="1">
        <w:r>
          <w:rPr>
            <w:rFonts w:ascii="arial" w:eastAsia="arial" w:hAnsi="arial" w:cs="arial"/>
            <w:b w:val="0"/>
            <w:i/>
            <w:strike w:val="0"/>
            <w:noProof w:val="0"/>
            <w:color w:val="0077CC"/>
            <w:position w:val="0"/>
            <w:sz w:val="18"/>
            <w:u w:val="single"/>
            <w:shd w:val="clear" w:color="auto" w:fill="FFFFFF"/>
            <w:vertAlign w:val="baseline"/>
          </w:rPr>
          <w:t>, 317 Ga. App. 486, 486 (731 SE2d 384) (2012)</w:t>
        </w:r>
      </w:hyperlink>
      <w:r>
        <w:rPr>
          <w:rFonts w:ascii="arial" w:eastAsia="arial" w:hAnsi="arial" w:cs="arial"/>
          <w:b w:val="0"/>
          <w:i w:val="0"/>
          <w:strike w:val="0"/>
          <w:noProof w:val="0"/>
          <w:color w:val="000000"/>
          <w:position w:val="0"/>
          <w:sz w:val="18"/>
          <w:u w:val="none"/>
          <w:vertAlign w:val="baseline"/>
        </w:rPr>
        <w:t xml:space="preserve"> (noting that </w:t>
      </w:r>
      <w:bookmarkStart w:id="76" w:name="Bookmark_LNHNREFclscc11"/>
      <w:bookmarkEnd w:id="76"/>
      <w:r>
        <w:rPr>
          <w:rFonts w:ascii="arial" w:eastAsia="arial" w:hAnsi="arial" w:cs="arial"/>
          <w:b w:val="0"/>
          <w:i w:val="0"/>
          <w:strike w:val="0"/>
          <w:noProof w:val="0"/>
          <w:color w:val="000000"/>
          <w:position w:val="0"/>
          <w:sz w:val="18"/>
          <w:u w:val="none"/>
          <w:vertAlign w:val="baseline"/>
        </w:rPr>
        <w:t xml:space="preserve">“we are bound by our prior decisions and those of the Supreme Court of Georgia”); </w:t>
      </w:r>
      <w:bookmarkStart w:id="77" w:name="Bookmark_I08J5VY87F6003MB5TJ00432"/>
      <w:bookmarkEnd w:id="77"/>
      <w:hyperlink r:id="rId34" w:history="1">
        <w:r>
          <w:rPr>
            <w:rFonts w:ascii="arial" w:eastAsia="arial" w:hAnsi="arial" w:cs="arial"/>
            <w:b w:val="0"/>
            <w:i/>
            <w:strike w:val="0"/>
            <w:noProof w:val="0"/>
            <w:color w:val="0077CC"/>
            <w:position w:val="0"/>
            <w:sz w:val="18"/>
            <w:u w:val="single"/>
            <w:shd w:val="clear" w:color="auto" w:fill="FFFFFF"/>
            <w:vertAlign w:val="baseline"/>
          </w:rPr>
          <w:t>McKibben v. State</w:t>
        </w:r>
      </w:hyperlink>
      <w:hyperlink r:id="rId35" w:history="1">
        <w:r>
          <w:rPr>
            <w:rFonts w:ascii="arial" w:eastAsia="arial" w:hAnsi="arial" w:cs="arial"/>
            <w:b w:val="0"/>
            <w:i/>
            <w:strike w:val="0"/>
            <w:noProof w:val="0"/>
            <w:color w:val="0077CC"/>
            <w:position w:val="0"/>
            <w:sz w:val="18"/>
            <w:u w:val="single"/>
            <w:shd w:val="clear" w:color="auto" w:fill="FFFFFF"/>
            <w:vertAlign w:val="baseline"/>
          </w:rPr>
          <w:t>, 88 Ga. App. 466, 474(1) (77 SE2d 86) (1953)</w:t>
        </w:r>
      </w:hyperlink>
      <w:r>
        <w:rPr>
          <w:rFonts w:ascii="arial" w:eastAsia="arial" w:hAnsi="arial" w:cs="arial"/>
          <w:b w:val="0"/>
          <w:i w:val="0"/>
          <w:strike w:val="0"/>
          <w:noProof w:val="0"/>
          <w:color w:val="000000"/>
          <w:position w:val="0"/>
          <w:sz w:val="18"/>
          <w:u w:val="none"/>
          <w:vertAlign w:val="baseline"/>
        </w:rPr>
        <w:t xml:space="preserve"> (“[S]ince the decisions of the Supreme Court are binding on this court without question, and the older decisions of this [C]ourt are binding on this [C]ourt until reversed or overruled by the Supreme Court or overruled by this [C]ourt, we must adhere to the authority of those cases, which we think state the correct principle of law.”).</w:t>
      </w:r>
    </w:p>
  </w:footnote>
  <w:footnote w:id="17">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16 </w:t>
      </w:r>
      <w:bookmarkStart w:id="78" w:name="Bookmark_fnpara_16"/>
      <w:bookmarkEnd w:id="78"/>
      <w:r>
        <w:rPr>
          <w:rFonts w:ascii="arial" w:eastAsia="arial" w:hAnsi="arial" w:cs="arial"/>
          <w:b w:val="0"/>
          <w:i w:val="0"/>
          <w:strike w:val="0"/>
          <w:noProof w:val="0"/>
          <w:color w:val="000000"/>
          <w:position w:val="0"/>
          <w:sz w:val="18"/>
          <w:u w:val="none"/>
          <w:vertAlign w:val="baseline"/>
        </w:rPr>
        <w:t xml:space="preserve">See </w:t>
      </w:r>
      <w:bookmarkStart w:id="79" w:name="Bookmark_I08J5VY887V003MB5TJ00434"/>
      <w:bookmarkEnd w:id="79"/>
      <w:hyperlink r:id="rId36" w:history="1">
        <w:r>
          <w:rPr>
            <w:rFonts w:ascii="arial" w:eastAsia="arial" w:hAnsi="arial" w:cs="arial"/>
            <w:b w:val="0"/>
            <w:i/>
            <w:strike w:val="0"/>
            <w:noProof w:val="0"/>
            <w:color w:val="0077CC"/>
            <w:position w:val="0"/>
            <w:sz w:val="18"/>
            <w:u w:val="single"/>
            <w:shd w:val="clear" w:color="auto" w:fill="FFFFFF"/>
            <w:vertAlign w:val="baseline"/>
          </w:rPr>
          <w:t>Hudson</w:t>
        </w:r>
      </w:hyperlink>
      <w:hyperlink r:id="rId37" w:history="1">
        <w:r>
          <w:rPr>
            <w:rFonts w:ascii="arial" w:eastAsia="arial" w:hAnsi="arial" w:cs="arial"/>
            <w:b w:val="0"/>
            <w:i/>
            <w:strike w:val="0"/>
            <w:noProof w:val="0"/>
            <w:color w:val="0077CC"/>
            <w:position w:val="0"/>
            <w:sz w:val="18"/>
            <w:u w:val="single"/>
            <w:shd w:val="clear" w:color="auto" w:fill="FFFFFF"/>
            <w:vertAlign w:val="baseline"/>
          </w:rPr>
          <w:t>, 334 Ga. App. 166</w:t>
        </w:r>
      </w:hyperlink>
      <w:r>
        <w:rPr>
          <w:rFonts w:ascii="arial" w:eastAsia="arial" w:hAnsi="arial" w:cs="arial"/>
          <w:b w:val="0"/>
          <w:i w:val="0"/>
          <w:strike w:val="0"/>
          <w:noProof w:val="0"/>
          <w:color w:val="000000"/>
          <w:position w:val="0"/>
          <w:sz w:val="18"/>
          <w:u w:val="none"/>
          <w:vertAlign w:val="baseline"/>
        </w:rPr>
        <w:t xml:space="preserve"> (cert. denied Jan. 11, 2016).</w:t>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tc>
    </w:tr>
    <w:tr>
      <w:tblPrEx>
        <w:tblW w:w="10080" w:type="dxa"/>
        <w:tblLayout w:type="fixed"/>
      </w:tblPrEx>
      <w:tc>
        <w:tcPr>
          <w:tcW w:w="10080" w:type="dxa"/>
        </w:tcPr>
        <w:p>
          <w:pPr>
            <w:spacing w:before="60" w:after="200"/>
            <w:jc w:val="center"/>
          </w:pPr>
          <w:r>
            <w:rPr>
              <w:rFonts w:ascii="arial" w:eastAsia="arial" w:hAnsi="arial" w:cs="arial"/>
              <w:sz w:val="20"/>
            </w:rPr>
            <w:t>Harper v. State</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footnotePr>
    <w:footnote w:id="0"/>
    <w:footnote w:id="1"/>
  </w:footnotePr>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footnotes" Target="footnotes.xml" /><Relationship Id="rId10" Type="http://schemas.openxmlformats.org/officeDocument/2006/relationships/hyperlink" Target="https://plus.lexis.com/api/document?collection=statutes-legislation&amp;id=urn:contentItem:6FXP-7593-RRTF-N000-00000-00&amp;context=1530671" TargetMode="External" /><Relationship Id="rId11" Type="http://schemas.openxmlformats.org/officeDocument/2006/relationships/hyperlink" Target="https://plus.lexis.com/api/document?collection=statutes-legislation&amp;id=urn:contentItem:6348-FV61-DYB7-W0SR-00000-00&amp;context=1530671" TargetMode="External" /><Relationship Id="rId12" Type="http://schemas.openxmlformats.org/officeDocument/2006/relationships/hyperlink" Target="https://plus.lexis.com/api/document?collection=statutes-legislation&amp;id=urn:contentItem:6348-FV61-DYB7-W0SR-00000-00&amp;context=1530671" TargetMode="External" /><Relationship Id="rId13" Type="http://schemas.openxmlformats.org/officeDocument/2006/relationships/hyperlink" Target="https://plus.lexis.com/api/document?collection=statutes-legislation&amp;id=urn:contentItem:6348-FV61-DYB7-W0SR-00000-00&amp;context=1530671" TargetMode="External" /><Relationship Id="rId14" Type="http://schemas.openxmlformats.org/officeDocument/2006/relationships/hyperlink" Target="https://plus.lexis.com/api/document?collection=statutes-legislation&amp;id=urn:contentItem:6348-FV61-DYB7-W0SR-00000-00&amp;context=1530671" TargetMode="External" /><Relationship Id="rId15" Type="http://schemas.openxmlformats.org/officeDocument/2006/relationships/hyperlink" Target="https://plus.lexis.com/api/document?collection=statutes-legislation&amp;id=urn:contentItem:6348-FV61-DYB7-W0SR-00000-00&amp;context=1530671" TargetMode="External" /><Relationship Id="rId16" Type="http://schemas.openxmlformats.org/officeDocument/2006/relationships/hyperlink" Target="https://plus.lexis.com/api/document?collection=statutes-legislation&amp;id=urn:contentItem:6348-FV61-DYB7-W0SR-00000-00&amp;context=1530671" TargetMode="External" /><Relationship Id="rId17" Type="http://schemas.openxmlformats.org/officeDocument/2006/relationships/hyperlink" Target="https://plus.lexis.com/api/document?collection=cases&amp;id=urn:contentItem:5H4Y-63V1-F04F-T001-00000-00&amp;context=1530671" TargetMode="External" /><Relationship Id="rId18" Type="http://schemas.openxmlformats.org/officeDocument/2006/relationships/hyperlink" Target="https://plus.lexis.com/api/document?collection=cases&amp;id=urn:contentItem:5H4Y-63V1-F04F-T001-00000-00&amp;context=1530671" TargetMode="External" /><Relationship Id="rId19" Type="http://schemas.openxmlformats.org/officeDocument/2006/relationships/hyperlink" Target="https://plus.lexis.com/api/document?collection=statutes-legislation&amp;id=urn:contentItem:6348-FV61-DYB7-W0SR-00000-00&amp;context=1530671" TargetMode="External" /><Relationship Id="rId2" Type="http://schemas.openxmlformats.org/officeDocument/2006/relationships/settings" Target="settings.xml" /><Relationship Id="rId20" Type="http://schemas.openxmlformats.org/officeDocument/2006/relationships/hyperlink" Target="https://plus.lexis.com/api/document?collection=cases&amp;id=urn:contentItem:3RX8-B6D0-003G-P4C5-00000-00&amp;context=1530671" TargetMode="External" /><Relationship Id="rId21" Type="http://schemas.openxmlformats.org/officeDocument/2006/relationships/hyperlink" Target="https://plus.lexis.com/api/document?collection=cases&amp;id=urn:contentItem:3RX8-B6D0-003G-P4C5-00000-00&amp;context=1530671" TargetMode="External" /><Relationship Id="rId22" Type="http://schemas.openxmlformats.org/officeDocument/2006/relationships/hyperlink" Target="https://plus.lexis.com/api/document?collection=statutes-legislation&amp;id=urn:contentItem:6348-FV61-DYB7-W0SR-00000-00&amp;context=1530671" TargetMode="External" /><Relationship Id="rId23" Type="http://schemas.openxmlformats.org/officeDocument/2006/relationships/theme" Target="theme/theme1.xml" /><Relationship Id="rId24" Type="http://schemas.openxmlformats.org/officeDocument/2006/relationships/styles" Target="style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header" Target="header1.xml" /><Relationship Id="rId6" Type="http://schemas.openxmlformats.org/officeDocument/2006/relationships/footer" Target="footer1.xml" /><Relationship Id="rId7" Type="http://schemas.openxmlformats.org/officeDocument/2006/relationships/footer" Target="footer2.xml" /><Relationship Id="rId8" Type="http://schemas.openxmlformats.org/officeDocument/2006/relationships/hyperlink" Target="https://plus.lexis.com/api/document?collection=cases&amp;id=urn:contentItem:6H8W-H953-S343-P1CF-00000-00&amp;context=1530671" TargetMode="External" /><Relationship Id="rId9" Type="http://schemas.openxmlformats.org/officeDocument/2006/relationships/hyperlink" Target="https://plus.lexis.com/api/document?collection=statutes-legislation&amp;id=urn:contentItem:6348-FV61-DYB7-W0SR-00000-00&amp;context=1530671" TargetMode="External" /></Relationships>
</file>

<file path=word/_rels/footnotes.xml.rels><?xml version="1.0" encoding="utf-8" standalone="yes"?><Relationships xmlns="http://schemas.openxmlformats.org/package/2006/relationships"><Relationship Id="rId1" Type="http://schemas.openxmlformats.org/officeDocument/2006/relationships/hyperlink" Target="https://plus.lexis.com/api/document?collection=statutes-legislation&amp;id=urn:contentItem:6FXP-7593-RRTF-N000-00000-00&amp;context=1530671" TargetMode="External" /><Relationship Id="rId10" Type="http://schemas.openxmlformats.org/officeDocument/2006/relationships/hyperlink" Target="https://plus.lexis.com/api/document?collection=cases&amp;id=urn:contentItem:3S65-J0X0-003B-R27D-00000-00&amp;context=1530671" TargetMode="External" /><Relationship Id="rId11" Type="http://schemas.openxmlformats.org/officeDocument/2006/relationships/hyperlink" Target="https://plus.lexis.com/api/document?collection=cases&amp;id=urn:contentItem:3S65-J0X0-003B-R27D-00000-00&amp;context=1530671" TargetMode="External" /><Relationship Id="rId12" Type="http://schemas.openxmlformats.org/officeDocument/2006/relationships/hyperlink" Target="https://plus.lexis.com/api/document?collection=cases&amp;id=urn:contentItem:58SV-7R61-DY1P-S01C-00000-00&amp;context=1530671" TargetMode="External" /><Relationship Id="rId13" Type="http://schemas.openxmlformats.org/officeDocument/2006/relationships/hyperlink" Target="https://plus.lexis.com/api/document?collection=cases&amp;id=urn:contentItem:58SV-7R61-DY1P-S01C-00000-00&amp;context=1530671" TargetMode="External" /><Relationship Id="rId14" Type="http://schemas.openxmlformats.org/officeDocument/2006/relationships/hyperlink" Target="https://plus.lexis.com/api/document?collection=cases&amp;id=urn:contentItem:5HDD-BJN1-F04F-T068-00000-00&amp;context=1530671" TargetMode="External" /><Relationship Id="rId15" Type="http://schemas.openxmlformats.org/officeDocument/2006/relationships/hyperlink" Target="https://plus.lexis.com/api/document?collection=cases&amp;id=urn:contentItem:5HDD-BJN1-F04F-T068-00000-00&amp;context=1530671" TargetMode="External" /><Relationship Id="rId16" Type="http://schemas.openxmlformats.org/officeDocument/2006/relationships/hyperlink" Target="https://plus.lexis.com/api/document?collection=cases&amp;id=urn:contentItem:58SV-7R61-DY1P-S01C-00000-00&amp;context=1530671" TargetMode="External" /><Relationship Id="rId17" Type="http://schemas.openxmlformats.org/officeDocument/2006/relationships/hyperlink" Target="https://plus.lexis.com/api/document?collection=cases&amp;id=urn:contentItem:58SV-7R61-DY1P-S01C-00000-00&amp;context=1530671" TargetMode="External" /><Relationship Id="rId18" Type="http://schemas.openxmlformats.org/officeDocument/2006/relationships/hyperlink" Target="https://plus.lexis.com/api/document?collection=cases&amp;id=urn:contentItem:5CJF-M601-DY1P-S015-00000-00&amp;context=1530671" TargetMode="External" /><Relationship Id="rId19" Type="http://schemas.openxmlformats.org/officeDocument/2006/relationships/hyperlink" Target="https://plus.lexis.com/api/document?collection=cases&amp;id=urn:contentItem:5CJF-M601-DY1P-S015-00000-00&amp;context=1530671" TargetMode="External" /><Relationship Id="rId2" Type="http://schemas.openxmlformats.org/officeDocument/2006/relationships/hyperlink" Target="https://plus.lexis.com/api/document?collection=statutes-legislation&amp;id=urn:contentItem:6FXP-7593-RRTF-N000-00000-00&amp;context=1530671" TargetMode="External" /><Relationship Id="rId20" Type="http://schemas.openxmlformats.org/officeDocument/2006/relationships/hyperlink" Target="https://plus.lexis.com/api/document?collection=cases&amp;id=urn:contentItem:4FF2-H4K0-0039-44RF-00000-00&amp;context=1530671" TargetMode="External" /><Relationship Id="rId21" Type="http://schemas.openxmlformats.org/officeDocument/2006/relationships/hyperlink" Target="https://plus.lexis.com/api/document?collection=cases&amp;id=urn:contentItem:4FF2-H4K0-0039-44RF-00000-00&amp;context=1530671" TargetMode="External" /><Relationship Id="rId22" Type="http://schemas.openxmlformats.org/officeDocument/2006/relationships/hyperlink" Target="https://plus.lexis.com/api/document?collection=cases&amp;id=urn:contentItem:3RX8-B6D0-003G-P4C5-00000-00&amp;context=1530671" TargetMode="External" /><Relationship Id="rId23" Type="http://schemas.openxmlformats.org/officeDocument/2006/relationships/hyperlink" Target="https://plus.lexis.com/api/document?collection=cases&amp;id=urn:contentItem:3RX8-B6D0-003G-P4C5-00000-00&amp;context=1530671" TargetMode="External" /><Relationship Id="rId24" Type="http://schemas.openxmlformats.org/officeDocument/2006/relationships/hyperlink" Target="https://plus.lexis.com/api/document?collection=cases&amp;id=urn:contentItem:3RX8-B6D0-003G-P4C5-00000-00&amp;context=1530671" TargetMode="External" /><Relationship Id="rId25" Type="http://schemas.openxmlformats.org/officeDocument/2006/relationships/hyperlink" Target="https://plus.lexis.com/api/document?collection=statutes-legislation&amp;id=urn:contentItem:6348-FV61-DYB7-W0SR-00000-00&amp;context=1530671" TargetMode="External" /><Relationship Id="rId26" Type="http://schemas.openxmlformats.org/officeDocument/2006/relationships/hyperlink" Target="https://plus.lexis.com/api/document?collection=cases&amp;id=urn:contentItem:5H4Y-63V1-F04F-T001-00000-00&amp;context=1530671" TargetMode="External" /><Relationship Id="rId27" Type="http://schemas.openxmlformats.org/officeDocument/2006/relationships/hyperlink" Target="https://plus.lexis.com/api/document?collection=cases&amp;id=urn:contentItem:5H4Y-63V1-F04F-T001-00000-00&amp;context=1530671" TargetMode="External" /><Relationship Id="rId28" Type="http://schemas.openxmlformats.org/officeDocument/2006/relationships/hyperlink" Target="https://plus.lexis.com/api/document?collection=cases&amp;id=urn:contentItem:5H4Y-63V1-F04F-T001-00000-00&amp;context=1530671" TargetMode="External" /><Relationship Id="rId29" Type="http://schemas.openxmlformats.org/officeDocument/2006/relationships/hyperlink" Target="https://plus.lexis.com/api/document?collection=cases&amp;id=urn:contentItem:5H4Y-63V1-F04F-T001-00000-00&amp;context=1530671" TargetMode="External" /><Relationship Id="rId3" Type="http://schemas.openxmlformats.org/officeDocument/2006/relationships/hyperlink" Target="https://plus.lexis.com/api/document?collection=statutes-legislation&amp;id=urn:contentItem:6FXP-7593-RRTF-N000-00000-00&amp;context=1530671" TargetMode="External" /><Relationship Id="rId30" Type="http://schemas.openxmlformats.org/officeDocument/2006/relationships/hyperlink" Target="https://plus.lexis.com/api/document?collection=cases&amp;id=urn:contentItem:5VBP-TC71-FC6N-X4T9-00000-00&amp;context=1530671" TargetMode="External" /><Relationship Id="rId31" Type="http://schemas.openxmlformats.org/officeDocument/2006/relationships/hyperlink" Target="https://plus.lexis.com/api/document?collection=cases&amp;id=urn:contentItem:5VBP-TC71-FC6N-X4T9-00000-00&amp;context=1530671" TargetMode="External" /><Relationship Id="rId32" Type="http://schemas.openxmlformats.org/officeDocument/2006/relationships/hyperlink" Target="https://plus.lexis.com/api/document?collection=cases&amp;id=urn:contentItem:56F6-JC71-F04F-T11J-00000-00&amp;context=1530671" TargetMode="External" /><Relationship Id="rId33" Type="http://schemas.openxmlformats.org/officeDocument/2006/relationships/hyperlink" Target="https://plus.lexis.com/api/document?collection=cases&amp;id=urn:contentItem:56F6-JC71-F04F-T11J-00000-00&amp;context=1530671" TargetMode="External" /><Relationship Id="rId34" Type="http://schemas.openxmlformats.org/officeDocument/2006/relationships/hyperlink" Target="https://plus.lexis.com/api/document?collection=cases&amp;id=urn:contentItem:3RRJ-6WD0-003V-C0V1-00000-00&amp;context=1530671" TargetMode="External" /><Relationship Id="rId35" Type="http://schemas.openxmlformats.org/officeDocument/2006/relationships/hyperlink" Target="https://plus.lexis.com/api/document?collection=cases&amp;id=urn:contentItem:3RRJ-6WD0-003V-C0V1-00000-00&amp;context=1530671" TargetMode="External" /><Relationship Id="rId36" Type="http://schemas.openxmlformats.org/officeDocument/2006/relationships/hyperlink" Target="https://plus.lexis.com/api/document?collection=cases&amp;id=urn:contentItem:5H4Y-63V1-F04F-T001-00000-00&amp;context=1530671" TargetMode="External" /><Relationship Id="rId37" Type="http://schemas.openxmlformats.org/officeDocument/2006/relationships/hyperlink" Target="https://plus.lexis.com/api/document?collection=cases&amp;id=urn:contentItem:5H4Y-63V1-F04F-T001-00000-00&amp;context=1530671" TargetMode="External" /><Relationship Id="rId4" Type="http://schemas.openxmlformats.org/officeDocument/2006/relationships/hyperlink" Target="https://plus.lexis.com/api/document?collection=statutes-legislation&amp;id=urn:contentItem:6FTG-TDH3-RS4T-W0JH-00000-00&amp;context=1530671" TargetMode="External" /><Relationship Id="rId5" Type="http://schemas.openxmlformats.org/officeDocument/2006/relationships/hyperlink" Target="https://plus.lexis.com/api/document?collection=statutes-legislation&amp;id=urn:contentItem:6FXP-7593-RRTF-N000-00000-00&amp;context=1530671" TargetMode="External" /><Relationship Id="rId6" Type="http://schemas.openxmlformats.org/officeDocument/2006/relationships/hyperlink" Target="https://plus.lexis.com/api/document?collection=statutes-legislation&amp;id=urn:contentItem:6348-FV61-DYB7-W0SR-00000-00&amp;context=1530671" TargetMode="External" /><Relationship Id="rId7" Type="http://schemas.openxmlformats.org/officeDocument/2006/relationships/hyperlink" Target="https://plus.lexis.com/api/document?collection=statutes-legislation&amp;id=urn:contentItem:6FXP-7593-RRTF-N000-00000-00&amp;context=1530671" TargetMode="External" /><Relationship Id="rId8" Type="http://schemas.openxmlformats.org/officeDocument/2006/relationships/hyperlink" Target="https://plus.lexis.com/api/document?collection=cases&amp;id=urn:contentItem:3RX8-9CF0-003G-P437-00000-00&amp;context=1530671" TargetMode="External" /><Relationship Id="rId9" Type="http://schemas.openxmlformats.org/officeDocument/2006/relationships/hyperlink" Target="https://plus.lexis.com/api/document?collection=cases&amp;id=urn:contentItem:3RX8-9CF0-003G-P437-00000-00&amp;context=1530671"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Harper v. State</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ocCount">
    <vt:lpwstr>1</vt:lpwstr>
  </property>
  <property fmtid="{D5CDD505-2E9C-101B-9397-08002B2CF9AE}" pid="3" name="LADocumentID:urn:contentItem:6H8W-H953-S343-P1CF-00000-00">
    <vt:lpwstr>Doc::/shared/document|contextualFeaturePermID::1530671</vt:lpwstr>
  </property>
  <property fmtid="{D5CDD505-2E9C-101B-9397-08002B2CF9AE}" pid="4" name="LNDeliveryID">
    <vt:lpwstr>280593076</vt:lpwstr>
  </property>
  <property fmtid="{D5CDD505-2E9C-101B-9397-08002B2CF9AE}" pid="5" name="UserPermID">
    <vt:lpwstr>urn:user:PA197239389</vt:lpwstr>
  </property>
</Properties>
</file>