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State v. Dias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S24A1373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261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914 S.E.2d 291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61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91715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795316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v. DIAS.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shd w:val="clear" w:color="auto" w:fill="FFFFFF"/>
            <w:vertAlign w:val="baseline"/>
          </w:rPr>
          <w:t>OCGA § 40-6-392 (d)</w:t>
        </w:r>
      </w:hyperlink>
      <w:r>
        <w:rPr>
          <w:rFonts w:ascii="arial" w:eastAsia="arial" w:hAnsi="arial" w:cs="arial"/>
          <w:b w:val="0"/>
          <w:i w:val="0"/>
          <w:strike w:val="0"/>
          <w:noProof w:val="0"/>
          <w:color w:val="000000"/>
          <w:position w:val="0"/>
          <w:sz w:val="20"/>
          <w:u w:val="none"/>
          <w:vertAlign w:val="baseline"/>
        </w:rPr>
        <w:t>; constitutional question. Fulton State Court. Before Judge Bessen.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2"/>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Keith E. Gammage, Solicitor-General; Steven E. Rosenberg; Christopher M. Carr, Attorney General, Beth A. Burton, Deputy Attorney General, Meghan H. Hill, Clint C. Malcolm, Senior Assistant Attorneys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Chestney &amp; Sullivan Law Firm, James K. Sullivan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ELLINGTON, Justice. PETERSON, Presiding Justice, concurring. Justice Bethel, and Justice McMillian, and Justice Pinson join in this concurrence.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ELLINGTON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Ellington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Dias stands accused in the State Court of Fulton County of driving under the </w:t>
      </w:r>
      <w:r>
        <w:rPr>
          <w:rFonts w:ascii="arial" w:eastAsia="arial" w:hAnsi="arial" w:cs="arial"/>
          <w:b w:val="0"/>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influence of alcohol to the extent that it was less safe for her to drive, </w:t>
      </w:r>
      <w:hyperlink r:id="rId10" w:history="1">
        <w:r>
          <w:rPr>
            <w:rFonts w:ascii="arial" w:eastAsia="arial" w:hAnsi="arial" w:cs="arial"/>
            <w:b w:val="0"/>
            <w:i/>
            <w:strike w:val="0"/>
            <w:noProof w:val="0"/>
            <w:color w:val="0077CC"/>
            <w:position w:val="0"/>
            <w:sz w:val="20"/>
            <w:u w:val="single"/>
            <w:shd w:val="clear" w:color="auto" w:fill="FFFFFF"/>
            <w:vertAlign w:val="baseline"/>
          </w:rPr>
          <w:t>OCGA § 40-6-391 (a) (1)</w:t>
        </w:r>
      </w:hyperlink>
      <w:r>
        <w:rPr>
          <w:rFonts w:ascii="arial" w:eastAsia="arial" w:hAnsi="arial" w:cs="arial"/>
          <w:b w:val="0"/>
          <w:i w:val="0"/>
          <w:strike w:val="0"/>
          <w:noProof w:val="0"/>
          <w:color w:val="000000"/>
          <w:position w:val="0"/>
          <w:sz w:val="20"/>
          <w:u w:val="none"/>
          <w:vertAlign w:val="baseline"/>
        </w:rPr>
        <w:t xml:space="preserve">, and other traffic offenses. </w:t>
      </w:r>
      <w:bookmarkStart w:id="9" w:name="Bookmark_I6FH9YGM2HM6XV0020000400"/>
      <w:bookmarkEnd w:id="9"/>
      <w:r>
        <w:rPr>
          <w:rFonts w:ascii="arial" w:eastAsia="arial" w:hAnsi="arial" w:cs="arial"/>
          <w:b w:val="0"/>
          <w:i w:val="0"/>
          <w:strike w:val="0"/>
          <w:noProof w:val="0"/>
          <w:color w:val="000000"/>
          <w:position w:val="0"/>
          <w:sz w:val="20"/>
          <w:u w:val="none"/>
          <w:vertAlign w:val="baseline"/>
        </w:rPr>
        <w:t xml:space="preserve">Dias moved to suppress evidence that she refused the arresting officer's request to submit to a blood test and to declare </w:t>
      </w:r>
      <w:hyperlink r:id="rId11" w:history="1">
        <w:r>
          <w:rPr>
            <w:rFonts w:ascii="arial" w:eastAsia="arial" w:hAnsi="arial" w:cs="arial"/>
            <w:b w:val="0"/>
            <w:i/>
            <w:strike w:val="0"/>
            <w:noProof w:val="0"/>
            <w:color w:val="0077CC"/>
            <w:position w:val="0"/>
            <w:sz w:val="20"/>
            <w:u w:val="single"/>
            <w:shd w:val="clear" w:color="auto" w:fill="FFFFFF"/>
            <w:vertAlign w:val="baseline"/>
          </w:rPr>
          <w:t>OCGA § 40-6-392 (d)</w:t>
        </w:r>
      </w:hyperlink>
      <w:r>
        <w:rPr>
          <w:rFonts w:ascii="arial" w:eastAsia="arial" w:hAnsi="arial" w:cs="arial"/>
          <w:b w:val="0"/>
          <w:i w:val="0"/>
          <w:strike w:val="0"/>
          <w:noProof w:val="0"/>
          <w:color w:val="000000"/>
          <w:position w:val="0"/>
          <w:sz w:val="20"/>
          <w:u w:val="none"/>
          <w:vertAlign w:val="baseline"/>
        </w:rPr>
        <w:t xml:space="preserve">, which provides that the refusal of a defendant to submit to a blood test at the time of her arrest for DUI “shall be admissible in evidence against [her,]” unconstitutional. After a hearing, the trial court granted Dias's motion, on the basis that </w:t>
      </w:r>
      <w:hyperlink r:id="rId12" w:history="1">
        <w:r>
          <w:rPr>
            <w:rFonts w:ascii="arial" w:eastAsia="arial" w:hAnsi="arial" w:cs="arial"/>
            <w:b w:val="0"/>
            <w:i/>
            <w:strike w:val="0"/>
            <w:noProof w:val="0"/>
            <w:color w:val="0077CC"/>
            <w:position w:val="0"/>
            <w:sz w:val="20"/>
            <w:u w:val="single"/>
            <w:shd w:val="clear" w:color="auto" w:fill="FFFFFF"/>
            <w:vertAlign w:val="baseline"/>
          </w:rPr>
          <w:t>OCGA § 40-6-392 (d)</w:t>
        </w:r>
      </w:hyperlink>
      <w:r>
        <w:rPr>
          <w:rFonts w:ascii="arial" w:eastAsia="arial" w:hAnsi="arial" w:cs="arial"/>
          <w:b w:val="0"/>
          <w:i w:val="0"/>
          <w:strike w:val="0"/>
          <w:noProof w:val="0"/>
          <w:color w:val="000000"/>
          <w:position w:val="0"/>
          <w:sz w:val="20"/>
          <w:u w:val="none"/>
          <w:vertAlign w:val="baseline"/>
        </w:rPr>
        <w:t xml:space="preserve"> is unconstitutional, and ruled that the blood-test refusal evidence is inadmissible at her trial. The State appealed to the Court of Appeals.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of Appeals transferred the case to this Court, based on its determination that the trial court directly and distinctly ruled on the novel constitutional question at issue.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The material facts, as developed at the hearing on Dias's motion to suppress, are undisputed. On April 10, 2020, a law</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enforcement officer arrested Dias in Fulton County on suspicion of driving under the influence of alcohol, read Dias the statutory implied consent notice for drivers aged 21 years and over,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requested that Dias submit to a blood test. Dias refused to submit to a blood test, and no test was performed. In her motion to suppress evidence that she refused the requested blood test, Dias argued that there were no exigent circumstances to justify the warrantless search involved in a state-administered blood test and that, in refusing the test, she “was simply invoking her right under the </w:t>
      </w:r>
      <w:hyperlink r:id="rId13"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not to be subjected to an unlawful search.” Dias argued that “[s]uch assertion of a constitutional right cannot be used against her at trial as it affects her </w:t>
      </w:r>
      <w:hyperlink r:id="rId14" w:history="1">
        <w:r>
          <w:rPr>
            <w:rFonts w:ascii="arial" w:eastAsia="arial" w:hAnsi="arial" w:cs="arial"/>
            <w:b w:val="0"/>
            <w:i/>
            <w:strike w:val="0"/>
            <w:noProof w:val="0"/>
            <w:color w:val="0077CC"/>
            <w:position w:val="0"/>
            <w:sz w:val="20"/>
            <w:u w:val="single"/>
            <w:shd w:val="clear" w:color="auto" w:fill="FFFFFF"/>
            <w:vertAlign w:val="baseline"/>
          </w:rPr>
          <w:t>5th Amendment</w:t>
        </w:r>
      </w:hyperlink>
      <w:r>
        <w:rPr>
          <w:rFonts w:ascii="arial" w:eastAsia="arial" w:hAnsi="arial" w:cs="arial"/>
          <w:b w:val="0"/>
          <w:i w:val="0"/>
          <w:strike w:val="0"/>
          <w:noProof w:val="0"/>
          <w:color w:val="000000"/>
          <w:position w:val="0"/>
          <w:sz w:val="20"/>
          <w:u w:val="none"/>
          <w:vertAlign w:val="baseline"/>
        </w:rPr>
        <w:t xml:space="preserve"> Due Process rights; her </w:t>
      </w:r>
      <w:hyperlink r:id="rId15" w:history="1">
        <w:r>
          <w:rPr>
            <w:rFonts w:ascii="arial" w:eastAsia="arial" w:hAnsi="arial" w:cs="arial"/>
            <w:b w:val="0"/>
            <w:i/>
            <w:strike w:val="0"/>
            <w:noProof w:val="0"/>
            <w:color w:val="0077CC"/>
            <w:position w:val="0"/>
            <w:sz w:val="20"/>
            <w:u w:val="single"/>
            <w:shd w:val="clear" w:color="auto" w:fill="FFFFFF"/>
            <w:vertAlign w:val="baseline"/>
          </w:rPr>
          <w:t>4th Amendment</w:t>
        </w:r>
      </w:hyperlink>
      <w:r>
        <w:rPr>
          <w:rFonts w:ascii="arial" w:eastAsia="arial" w:hAnsi="arial" w:cs="arial"/>
          <w:b w:val="0"/>
          <w:i w:val="0"/>
          <w:strike w:val="0"/>
          <w:noProof w:val="0"/>
          <w:color w:val="000000"/>
          <w:position w:val="0"/>
          <w:sz w:val="20"/>
          <w:u w:val="none"/>
          <w:vertAlign w:val="baseline"/>
        </w:rPr>
        <w:t xml:space="preserve"> right against unreasonable searches and seizures; and </w:t>
      </w:r>
      <w:hyperlink r:id="rId16" w:history="1">
        <w:r>
          <w:rPr>
            <w:rFonts w:ascii="arial" w:eastAsia="arial" w:hAnsi="arial" w:cs="arial"/>
            <w:b w:val="0"/>
            <w:i/>
            <w:strike w:val="0"/>
            <w:noProof w:val="0"/>
            <w:color w:val="0077CC"/>
            <w:position w:val="0"/>
            <w:sz w:val="20"/>
            <w:u w:val="single"/>
            <w:shd w:val="clear" w:color="auto" w:fill="FFFFFF"/>
            <w:vertAlign w:val="baseline"/>
          </w:rPr>
          <w:t>Art. I, Sec. I, Par. XVI of the Georgia Constitution</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determined that it was required to follow</w:t>
      </w:r>
    </w:p>
    <w:p>
      <w:pPr>
        <w:keepNext w:val="0"/>
        <w:spacing w:before="200" w:after="0" w:line="260" w:lineRule="atLeast"/>
        <w:ind w:left="400" w:right="0" w:firstLine="0"/>
        <w:jc w:val="both"/>
      </w:pPr>
      <w:bookmarkStart w:id="16" w:name="Bookmark_I6FH9YGM2HM6XV0040000400"/>
      <w:bookmarkEnd w:id="16"/>
      <w:r>
        <w:rPr>
          <w:rFonts w:ascii="arial" w:eastAsia="arial" w:hAnsi="arial" w:cs="arial"/>
          <w:b w:val="0"/>
          <w:i w:val="0"/>
          <w:strike w:val="0"/>
          <w:noProof w:val="0"/>
          <w:color w:val="000000"/>
          <w:position w:val="0"/>
          <w:sz w:val="20"/>
          <w:u w:val="none"/>
          <w:vertAlign w:val="baseline"/>
        </w:rPr>
        <w:t xml:space="preserve">clear, unequivocal law as set out by Georgia's Supreme Court. </w:t>
      </w:r>
      <w:bookmarkStart w:id="17" w:name="Bookmark_I6FH9YGN28T4FM0030000400"/>
      <w:bookmarkEnd w:id="17"/>
      <w:r>
        <w:rPr>
          <w:rFonts w:ascii="arial" w:eastAsia="arial" w:hAnsi="arial" w:cs="arial"/>
          <w:b w:val="0"/>
          <w:i w:val="0"/>
          <w:strike w:val="0"/>
          <w:noProof w:val="0"/>
          <w:color w:val="000000"/>
          <w:position w:val="0"/>
          <w:sz w:val="20"/>
          <w:u w:val="none"/>
          <w:vertAlign w:val="baseline"/>
        </w:rPr>
        <w:t xml:space="preserve">A warrant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required for a blood draw, absent exigent circumstances or consent. </w:t>
      </w:r>
      <w:bookmarkStart w:id="18" w:name="Bookmark_I6FH9YGM2HM6XV0030000400"/>
      <w:bookmarkEnd w:id="18"/>
      <w:hyperlink r:id="rId17" w:history="1">
        <w:r>
          <w:rPr>
            <w:rFonts w:ascii="arial" w:eastAsia="arial" w:hAnsi="arial" w:cs="arial"/>
            <w:b w:val="0"/>
            <w:i/>
            <w:strike w:val="0"/>
            <w:noProof w:val="0"/>
            <w:color w:val="0077CC"/>
            <w:position w:val="0"/>
            <w:sz w:val="20"/>
            <w:u w:val="single"/>
            <w:shd w:val="clear" w:color="auto" w:fill="FFFFFF"/>
            <w:vertAlign w:val="baseline"/>
          </w:rPr>
          <w:t>Olevik</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302 Ga. 228 (806 SE2d 505) (2017)</w:t>
        </w:r>
      </w:hyperlink>
      <w:r>
        <w:rPr>
          <w:rFonts w:ascii="arial" w:eastAsia="arial" w:hAnsi="arial" w:cs="arial"/>
          <w:b w:val="0"/>
          <w:i w:val="0"/>
          <w:strike w:val="0"/>
          <w:noProof w:val="0"/>
          <w:color w:val="000000"/>
          <w:position w:val="0"/>
          <w:sz w:val="20"/>
          <w:u w:val="none"/>
          <w:vertAlign w:val="baseline"/>
        </w:rPr>
        <w:t xml:space="preserve">,] and </w:t>
      </w:r>
      <w:bookmarkStart w:id="19" w:name="Bookmark_I6FH9YGM2HM6XV0050000400"/>
      <w:bookmarkEnd w:id="19"/>
      <w:hyperlink r:id="rId21" w:history="1">
        <w:r>
          <w:rPr>
            <w:rFonts w:ascii="arial" w:eastAsia="arial" w:hAnsi="arial" w:cs="arial"/>
            <w:b w:val="0"/>
            <w:i/>
            <w:strike w:val="0"/>
            <w:noProof w:val="0"/>
            <w:color w:val="0077CC"/>
            <w:position w:val="0"/>
            <w:sz w:val="20"/>
            <w:u w:val="single"/>
            <w:shd w:val="clear" w:color="auto" w:fill="FFFFFF"/>
            <w:vertAlign w:val="baseline"/>
          </w:rPr>
          <w:t>Williams</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v. State</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296 Ga. 817 (771 SE2d 373) (2015)]</w:t>
        </w:r>
      </w:hyperlink>
      <w:r>
        <w:rPr>
          <w:rFonts w:ascii="arial" w:eastAsia="arial" w:hAnsi="arial" w:cs="arial"/>
          <w:b w:val="0"/>
          <w:i w:val="0"/>
          <w:strike w:val="0"/>
          <w:noProof w:val="0"/>
          <w:color w:val="000000"/>
          <w:position w:val="0"/>
          <w:sz w:val="20"/>
          <w:u w:val="none"/>
          <w:vertAlign w:val="baseline"/>
        </w:rPr>
        <w:t xml:space="preserve">. </w:t>
      </w:r>
      <w:bookmarkStart w:id="20" w:name="Bookmark_I6FH9YGN28T4FM0030000400_2"/>
      <w:bookmarkEnd w:id="20"/>
      <w:r>
        <w:rPr>
          <w:rFonts w:ascii="arial" w:eastAsia="arial" w:hAnsi="arial" w:cs="arial"/>
          <w:b w:val="0"/>
          <w:i w:val="0"/>
          <w:strike w:val="0"/>
          <w:noProof w:val="0"/>
          <w:color w:val="000000"/>
          <w:position w:val="0"/>
          <w:sz w:val="20"/>
          <w:u w:val="none"/>
          <w:vertAlign w:val="baseline"/>
        </w:rPr>
        <w:t>Whatever the wisdom of earlier decisions involving forced surgery and blood draws in other contexts, or in later cases involving breath and urine, which rely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a defendant's affirmative participation, </w:t>
      </w:r>
      <w:bookmarkStart w:id="21" w:name="Bookmark_I6FH9YGN28T4FM0030000400_3"/>
      <w:bookmarkEnd w:id="21"/>
      <w:bookmarkStart w:id="22" w:name="Bookmark_I6FH9YGN28T4FM0020000400"/>
      <w:bookmarkEnd w:id="22"/>
      <w:hyperlink r:id="rId25" w:history="1">
        <w:r>
          <w:rPr>
            <w:rFonts w:ascii="arial" w:eastAsia="arial" w:hAnsi="arial" w:cs="arial"/>
            <w:b w:val="0"/>
            <w:i/>
            <w:strike w:val="0"/>
            <w:noProof w:val="0"/>
            <w:color w:val="0077CC"/>
            <w:position w:val="0"/>
            <w:sz w:val="20"/>
            <w:u w:val="single"/>
            <w:shd w:val="clear" w:color="auto" w:fill="FFFFFF"/>
            <w:vertAlign w:val="baseline"/>
          </w:rPr>
          <w:t>Olevik</w:t>
        </w:r>
      </w:hyperlink>
      <w:bookmarkStart w:id="23" w:name="Bookmark_I6FH9YGN2SF8860020000400"/>
      <w:bookmarkEnd w:id="23"/>
      <w:r>
        <w:rPr>
          <w:rFonts w:ascii="arial" w:eastAsia="arial" w:hAnsi="arial" w:cs="arial"/>
          <w:b w:val="0"/>
          <w:i w:val="0"/>
          <w:strike w:val="0"/>
          <w:noProof w:val="0"/>
          <w:color w:val="000000"/>
          <w:position w:val="0"/>
          <w:sz w:val="20"/>
          <w:u w:val="none"/>
          <w:vertAlign w:val="baseline"/>
        </w:rPr>
        <w:t xml:space="preserve"> and </w:t>
      </w:r>
      <w:bookmarkStart w:id="24" w:name="Bookmark_I6FH9YGN28T4FM0040000400"/>
      <w:bookmarkEnd w:id="24"/>
      <w:hyperlink r:id="rId26" w:history="1">
        <w:r>
          <w:rPr>
            <w:rFonts w:ascii="arial" w:eastAsia="arial" w:hAnsi="arial" w:cs="arial"/>
            <w:b w:val="0"/>
            <w:i/>
            <w:strike w:val="0"/>
            <w:noProof w:val="0"/>
            <w:color w:val="0077CC"/>
            <w:position w:val="0"/>
            <w:sz w:val="20"/>
            <w:u w:val="single"/>
            <w:shd w:val="clear" w:color="auto" w:fill="FFFFFF"/>
            <w:vertAlign w:val="baseline"/>
          </w:rPr>
          <w:t>Williams</w:t>
        </w:r>
      </w:hyperlink>
      <w:r>
        <w:rPr>
          <w:rFonts w:ascii="arial" w:eastAsia="arial" w:hAnsi="arial" w:cs="arial"/>
          <w:b w:val="0"/>
          <w:i w:val="0"/>
          <w:strike w:val="0"/>
          <w:noProof w:val="0"/>
          <w:color w:val="000000"/>
          <w:position w:val="0"/>
          <w:sz w:val="20"/>
          <w:u w:val="none"/>
          <w:vertAlign w:val="baseline"/>
        </w:rPr>
        <w:t xml:space="preserve"> are squarely on point. “Georgians do have a [constitutional] right to refuse to consent to warrantless blood tests, absent some other exception to the warrant requirement.” </w:t>
      </w:r>
      <w:bookmarkStart w:id="25" w:name="Bookmark_I6FH9YGN2SF8860010000400"/>
      <w:bookmarkEnd w:id="25"/>
      <w:hyperlink r:id="rId27" w:history="1">
        <w:r>
          <w:rPr>
            <w:rFonts w:ascii="arial" w:eastAsia="arial" w:hAnsi="arial" w:cs="arial"/>
            <w:b w:val="0"/>
            <w:i/>
            <w:strike w:val="0"/>
            <w:noProof w:val="0"/>
            <w:color w:val="0077CC"/>
            <w:position w:val="0"/>
            <w:sz w:val="20"/>
            <w:u w:val="single"/>
            <w:shd w:val="clear" w:color="auto" w:fill="FFFFFF"/>
            <w:vertAlign w:val="baseline"/>
          </w:rPr>
          <w:t>Olevik</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302 Ga. at 233</w:t>
        </w:r>
      </w:hyperlink>
      <w:r>
        <w:rPr>
          <w:rFonts w:ascii="arial" w:eastAsia="arial" w:hAnsi="arial" w:cs="arial"/>
          <w:b w:val="0"/>
          <w:i w:val="0"/>
          <w:strike w:val="0"/>
          <w:noProof w:val="0"/>
          <w:color w:val="000000"/>
          <w:position w:val="0"/>
          <w:sz w:val="20"/>
          <w:u w:val="none"/>
          <w:vertAlign w:val="baseline"/>
        </w:rPr>
        <w:t xml:space="preserve">. … The Court therefore finds that </w:t>
      </w:r>
      <w:hyperlink r:id="rId29" w:history="1">
        <w:r>
          <w:rPr>
            <w:rFonts w:ascii="arial" w:eastAsia="arial" w:hAnsi="arial" w:cs="arial"/>
            <w:b w:val="0"/>
            <w:i/>
            <w:strike w:val="0"/>
            <w:noProof w:val="0"/>
            <w:color w:val="0077CC"/>
            <w:position w:val="0"/>
            <w:sz w:val="20"/>
            <w:u w:val="single"/>
            <w:shd w:val="clear" w:color="auto" w:fill="FFFFFF"/>
            <w:vertAlign w:val="baseline"/>
          </w:rPr>
          <w:t>OCGA § 40-6-392 (d)</w:t>
        </w:r>
      </w:hyperlink>
      <w:r>
        <w:rPr>
          <w:rFonts w:ascii="arial" w:eastAsia="arial" w:hAnsi="arial" w:cs="arial"/>
          <w:b w:val="0"/>
          <w:i w:val="0"/>
          <w:strike w:val="0"/>
          <w:noProof w:val="0"/>
          <w:color w:val="000000"/>
          <w:position w:val="0"/>
          <w:sz w:val="20"/>
          <w:u w:val="none"/>
          <w:vertAlign w:val="baseline"/>
        </w:rPr>
        <w:t xml:space="preserve"> is not constitutional as applied to Dias when viewed in light of </w:t>
      </w:r>
      <w:bookmarkStart w:id="26" w:name="Bookmark_I6FH9YGN2SF8860020000400_2"/>
      <w:bookmarkEnd w:id="26"/>
      <w:bookmarkStart w:id="27" w:name="Bookmark_I6FH9YGN2SF8860030000400"/>
      <w:bookmarkEnd w:id="27"/>
      <w:hyperlink r:id="rId30" w:history="1">
        <w:r>
          <w:rPr>
            <w:rFonts w:ascii="arial" w:eastAsia="arial" w:hAnsi="arial" w:cs="arial"/>
            <w:b w:val="0"/>
            <w:i/>
            <w:strike w:val="0"/>
            <w:noProof w:val="0"/>
            <w:color w:val="0077CC"/>
            <w:position w:val="0"/>
            <w:sz w:val="20"/>
            <w:u w:val="single"/>
            <w:shd w:val="clear" w:color="auto" w:fill="FFFFFF"/>
            <w:vertAlign w:val="baseline"/>
          </w:rPr>
          <w:t>Williams</w:t>
        </w:r>
      </w:hyperlink>
      <w:r>
        <w:rPr>
          <w:rFonts w:ascii="arial" w:eastAsia="arial" w:hAnsi="arial" w:cs="arial"/>
          <w:b w:val="0"/>
          <w:i w:val="0"/>
          <w:strike w:val="0"/>
          <w:noProof w:val="0"/>
          <w:color w:val="000000"/>
          <w:position w:val="0"/>
          <w:sz w:val="20"/>
          <w:u w:val="none"/>
          <w:vertAlign w:val="baseline"/>
        </w:rPr>
        <w:t xml:space="preserve"> and </w:t>
      </w:r>
      <w:bookmarkStart w:id="28" w:name="Bookmark_I6FH9YGN2SF8860050000400"/>
      <w:bookmarkEnd w:id="28"/>
      <w:hyperlink r:id="rId31" w:history="1">
        <w:r>
          <w:rPr>
            <w:rFonts w:ascii="arial" w:eastAsia="arial" w:hAnsi="arial" w:cs="arial"/>
            <w:b w:val="0"/>
            <w:i/>
            <w:strike w:val="0"/>
            <w:noProof w:val="0"/>
            <w:color w:val="0077CC"/>
            <w:position w:val="0"/>
            <w:sz w:val="20"/>
            <w:u w:val="single"/>
            <w:shd w:val="clear" w:color="auto" w:fill="FFFFFF"/>
            <w:vertAlign w:val="baseline"/>
          </w:rPr>
          <w:t>Olevik</w:t>
        </w:r>
      </w:hyperlink>
      <w:bookmarkStart w:id="29" w:name="Bookmark_I6FH9YGN2D6N7H0030000400"/>
      <w:bookmarkEnd w:id="29"/>
      <w:r>
        <w:rPr>
          <w:rFonts w:ascii="arial" w:eastAsia="arial" w:hAnsi="arial" w:cs="arial"/>
          <w:b w:val="0"/>
          <w:i w:val="0"/>
          <w:strike w:val="0"/>
          <w:noProof w:val="0"/>
          <w:color w:val="000000"/>
          <w:position w:val="0"/>
          <w:sz w:val="20"/>
          <w:u w:val="none"/>
          <w:vertAlign w:val="baseline"/>
        </w:rPr>
        <w:t xml:space="preserve">. A blood draw is a search, and the burden rests upon the State to show that a warrantless search is constitutional under these circumstances. </w:t>
      </w:r>
      <w:bookmarkStart w:id="30" w:name="Bookmark_I6FH9YGN2D6N7H0050000400"/>
      <w:bookmarkEnd w:id="30"/>
      <w:bookmarkStart w:id="31" w:name="Bookmark_I6FH9YGN2D6N7H0020000400"/>
      <w:bookmarkEnd w:id="31"/>
      <w:hyperlink r:id="rId32" w:history="1">
        <w:r>
          <w:rPr>
            <w:rFonts w:ascii="arial" w:eastAsia="arial" w:hAnsi="arial" w:cs="arial"/>
            <w:b w:val="0"/>
            <w:i/>
            <w:strike w:val="0"/>
            <w:noProof w:val="0"/>
            <w:color w:val="0077CC"/>
            <w:position w:val="0"/>
            <w:sz w:val="20"/>
            <w:u w:val="single"/>
            <w:shd w:val="clear" w:color="auto" w:fill="FFFFFF"/>
            <w:vertAlign w:val="baseline"/>
          </w:rPr>
          <w:t>Williams</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296 Ga. [at] 819</w:t>
        </w:r>
      </w:hyperlink>
      <w:r>
        <w:rPr>
          <w:rFonts w:ascii="arial" w:eastAsia="arial" w:hAnsi="arial" w:cs="arial"/>
          <w:b w:val="0"/>
          <w:i w:val="0"/>
          <w:strike w:val="0"/>
          <w:noProof w:val="0"/>
          <w:color w:val="000000"/>
          <w:position w:val="0"/>
          <w:sz w:val="20"/>
          <w:u w:val="none"/>
          <w:vertAlign w:val="baseline"/>
        </w:rPr>
        <w:t xml:space="preserve">[.] </w:t>
      </w:r>
      <w:bookmarkStart w:id="32" w:name="Bookmark_I6FH9YGN2D6N7H0050000400_2"/>
      <w:bookmarkEnd w:id="32"/>
      <w:r>
        <w:rPr>
          <w:rFonts w:ascii="arial" w:eastAsia="arial" w:hAnsi="arial" w:cs="arial"/>
          <w:b w:val="0"/>
          <w:i w:val="0"/>
          <w:strike w:val="0"/>
          <w:noProof w:val="0"/>
          <w:color w:val="000000"/>
          <w:position w:val="0"/>
          <w:sz w:val="20"/>
          <w:u w:val="none"/>
          <w:vertAlign w:val="baseline"/>
        </w:rPr>
        <w:t>The State has not carried this burden; no facts were elicited to show a warrant, consent or exigent circumstances. Where a person exercises her constitutional right against self-incrimination same is</w:t>
      </w:r>
      <w:r>
        <w:rPr>
          <w:rFonts w:ascii="arial" w:eastAsia="arial" w:hAnsi="arial" w:cs="arial"/>
          <w:b w:val="0"/>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not admissible at trial, </w:t>
      </w:r>
      <w:bookmarkStart w:id="33" w:name="Bookmark_I6FH9YGN2D6N7H0040000400"/>
      <w:bookmarkEnd w:id="33"/>
      <w:hyperlink r:id="rId34" w:history="1">
        <w:r>
          <w:rPr>
            <w:rFonts w:ascii="arial" w:eastAsia="arial" w:hAnsi="arial" w:cs="arial"/>
            <w:b w:val="0"/>
            <w:i/>
            <w:strike w:val="0"/>
            <w:noProof w:val="0"/>
            <w:color w:val="0077CC"/>
            <w:position w:val="0"/>
            <w:sz w:val="20"/>
            <w:u w:val="single"/>
            <w:shd w:val="clear" w:color="auto" w:fill="FFFFFF"/>
            <w:vertAlign w:val="baseline"/>
          </w:rPr>
          <w:t>Elliott v. State</w:t>
        </w:r>
      </w:hyperlink>
      <w:hyperlink r:id="rId35" w:history="1">
        <w:r>
          <w:rPr>
            <w:rFonts w:ascii="arial" w:eastAsia="arial" w:hAnsi="arial" w:cs="arial"/>
            <w:b w:val="0"/>
            <w:i/>
            <w:strike w:val="0"/>
            <w:noProof w:val="0"/>
            <w:color w:val="0077CC"/>
            <w:position w:val="0"/>
            <w:sz w:val="20"/>
            <w:u w:val="single"/>
            <w:shd w:val="clear" w:color="auto" w:fill="FFFFFF"/>
            <w:vertAlign w:val="baseline"/>
          </w:rPr>
          <w:t>, 305 Ga. 179 [(824 SE2d 265)] (2019)</w:t>
        </w:r>
      </w:hyperlink>
      <w:r>
        <w:rPr>
          <w:rFonts w:ascii="arial" w:eastAsia="arial" w:hAnsi="arial" w:cs="arial"/>
          <w:b w:val="0"/>
          <w:i w:val="0"/>
          <w:strike w:val="0"/>
          <w:noProof w:val="0"/>
          <w:color w:val="000000"/>
          <w:position w:val="0"/>
          <w:sz w:val="20"/>
          <w:u w:val="none"/>
          <w:vertAlign w:val="baseline"/>
        </w:rPr>
        <w:t xml:space="preserve">, but the statute, </w:t>
      </w:r>
      <w:hyperlink r:id="rId36" w:history="1">
        <w:r>
          <w:rPr>
            <w:rFonts w:ascii="arial" w:eastAsia="arial" w:hAnsi="arial" w:cs="arial"/>
            <w:b w:val="0"/>
            <w:i/>
            <w:strike w:val="0"/>
            <w:noProof w:val="0"/>
            <w:color w:val="0077CC"/>
            <w:position w:val="0"/>
            <w:sz w:val="20"/>
            <w:u w:val="single"/>
            <w:shd w:val="clear" w:color="auto" w:fill="FFFFFF"/>
            <w:vertAlign w:val="baseline"/>
          </w:rPr>
          <w:t>OCGA § 40-6-392 (d)</w:t>
        </w:r>
      </w:hyperlink>
      <w:r>
        <w:rPr>
          <w:rFonts w:ascii="arial" w:eastAsia="arial" w:hAnsi="arial" w:cs="arial"/>
          <w:b w:val="0"/>
          <w:i w:val="0"/>
          <w:strike w:val="0"/>
          <w:noProof w:val="0"/>
          <w:color w:val="000000"/>
          <w:position w:val="0"/>
          <w:sz w:val="20"/>
          <w:u w:val="none"/>
          <w:vertAlign w:val="baseline"/>
        </w:rPr>
        <w:t xml:space="preserve">, makes no provision for exclusion where these are not </w:t>
      </w:r>
      <w:r>
        <w:rPr>
          <w:rFonts w:ascii="arial" w:eastAsia="arial" w:hAnsi="arial" w:cs="arial"/>
          <w:b w:val="0"/>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shown. Accordingly, the Court GRANTS the motion, finding the statute unconstitutional and Dias' refusal inadmissible at trial.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in original.)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the State contends that introducing a blood-test refusal into evidence in a DUI case “does not violate the </w:t>
      </w:r>
      <w:hyperlink r:id="rId37"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nor </w:t>
      </w:r>
      <w:hyperlink r:id="rId38" w:history="1">
        <w:r>
          <w:rPr>
            <w:rFonts w:ascii="arial" w:eastAsia="arial" w:hAnsi="arial" w:cs="arial"/>
            <w:b w:val="0"/>
            <w:i/>
            <w:strike w:val="0"/>
            <w:noProof w:val="0"/>
            <w:color w:val="0077CC"/>
            <w:position w:val="0"/>
            <w:sz w:val="20"/>
            <w:u w:val="single"/>
            <w:shd w:val="clear" w:color="auto" w:fill="FFFFFF"/>
            <w:vertAlign w:val="baseline"/>
          </w:rPr>
          <w:t>Article I, Sec. I, Par[ ]. XVI of the Georgia Constitution</w:t>
        </w:r>
      </w:hyperlink>
      <w:r>
        <w:rPr>
          <w:rFonts w:ascii="arial" w:eastAsia="arial" w:hAnsi="arial" w:cs="arial"/>
          <w:b w:val="0"/>
          <w:i w:val="0"/>
          <w:strike w:val="0"/>
          <w:noProof w:val="0"/>
          <w:color w:val="000000"/>
          <w:position w:val="0"/>
          <w:sz w:val="20"/>
          <w:u w:val="none"/>
          <w:vertAlign w:val="baseline"/>
        </w:rPr>
        <w:t xml:space="preserve"> [of 1983].” And the State contends that such use of a blood-test refusal in a DUI case “does not offend search and seizure principles”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“is allowable pursuant to the </w:t>
      </w:r>
      <w:hyperlink r:id="rId39" w:history="1">
        <w:r>
          <w:rPr>
            <w:rFonts w:ascii="arial" w:eastAsia="arial" w:hAnsi="arial" w:cs="arial"/>
            <w:b w:val="0"/>
            <w:i/>
            <w:strike w:val="0"/>
            <w:noProof w:val="0"/>
            <w:color w:val="0077CC"/>
            <w:position w:val="0"/>
            <w:sz w:val="20"/>
            <w:u w:val="single"/>
            <w:shd w:val="clear" w:color="auto" w:fill="FFFFFF"/>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xml:space="preserve"> as well as </w:t>
      </w:r>
      <w:hyperlink r:id="rId40" w:history="1">
        <w:r>
          <w:rPr>
            <w:rFonts w:ascii="arial" w:eastAsia="arial" w:hAnsi="arial" w:cs="arial"/>
            <w:b w:val="0"/>
            <w:i/>
            <w:strike w:val="0"/>
            <w:noProof w:val="0"/>
            <w:color w:val="0077CC"/>
            <w:position w:val="0"/>
            <w:sz w:val="20"/>
            <w:u w:val="single"/>
            <w:shd w:val="clear" w:color="auto" w:fill="FFFFFF"/>
            <w:vertAlign w:val="baseline"/>
          </w:rPr>
          <w:t>Article I, Sec. I, Par[ ]. XIII of the Georgia Constitution</w:t>
        </w:r>
      </w:hyperlink>
      <w:r>
        <w:rPr>
          <w:rFonts w:ascii="arial" w:eastAsia="arial" w:hAnsi="arial" w:cs="arial"/>
          <w:b w:val="0"/>
          <w:i w:val="0"/>
          <w:strike w:val="0"/>
          <w:noProof w:val="0"/>
          <w:color w:val="000000"/>
          <w:position w:val="0"/>
          <w:sz w:val="20"/>
          <w:u w:val="none"/>
          <w:vertAlign w:val="baseline"/>
        </w:rPr>
        <w:t xml:space="preserve"> [of 1983].” The State argues that the trial court therefore erred in excluding Dias's refusal to take a blood test “by finding that said refusal was the product of an illegal, warrantless search in violation of the </w:t>
      </w:r>
      <w:hyperlink r:id="rId41"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guarantee against unreasonable searches and seizures as well as the </w:t>
      </w:r>
      <w:hyperlink r:id="rId42"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protection against self-incrimination and the State equivalent found at [</w:t>
      </w:r>
      <w:hyperlink r:id="rId43" w:history="1">
        <w:r>
          <w:rPr>
            <w:rFonts w:ascii="arial" w:eastAsia="arial" w:hAnsi="arial" w:cs="arial"/>
            <w:b w:val="0"/>
            <w:i/>
            <w:strike w:val="0"/>
            <w:noProof w:val="0"/>
            <w:color w:val="0077CC"/>
            <w:position w:val="0"/>
            <w:sz w:val="20"/>
            <w:u w:val="single"/>
            <w:shd w:val="clear" w:color="auto" w:fill="FFFFFF"/>
            <w:vertAlign w:val="baseline"/>
          </w:rPr>
          <w:t>Paragraph XVI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_1"/>
      <w:bookmarkEnd w:id="34"/>
      <w:r>
        <w:rPr>
          <w:rFonts w:ascii="arial" w:eastAsia="arial" w:hAnsi="arial" w:cs="arial"/>
          <w:b w:val="0"/>
          <w:i w:val="0"/>
          <w:strike w:val="0"/>
          <w:noProof w:val="0"/>
          <w:color w:val="000000"/>
          <w:position w:val="0"/>
          <w:sz w:val="20"/>
          <w:u w:val="none"/>
          <w:vertAlign w:val="baseline"/>
        </w:rPr>
        <w:t xml:space="preserve">(1) </w:t>
      </w:r>
      <w:bookmarkStart w:id="35" w:name="Bookmark_I6FH9YGN2N1PTN0030000400"/>
      <w:bookmarkEnd w:id="35"/>
      <w:bookmarkStart w:id="36" w:name="Bookmark_I6FH9YGN28T4FN0040000400"/>
      <w:bookmarkEnd w:id="36"/>
      <w:bookmarkStart w:id="37" w:name="Bookmark_II08FP49PHGJ003RRM9W002XP"/>
      <w:bookmarkEnd w:id="37"/>
      <w:bookmarkStart w:id="38" w:name="Bookmark_I6FH9YGN28T4FN0020000400"/>
      <w:bookmarkEnd w:id="38"/>
      <w:r>
        <w:rPr>
          <w:rFonts w:ascii="arial" w:eastAsia="arial" w:hAnsi="arial" w:cs="arial"/>
          <w:b w:val="0"/>
          <w:i w:val="0"/>
          <w:strike w:val="0"/>
          <w:noProof w:val="0"/>
          <w:color w:val="000000"/>
          <w:position w:val="0"/>
          <w:sz w:val="20"/>
          <w:u w:val="none"/>
          <w:vertAlign w:val="baseline"/>
        </w:rPr>
        <w:t xml:space="preserve">To the extent that the trial court granted Dias's motion on the basis that, under </w:t>
      </w:r>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xml:space="preserve">, the State is precluded from introducing at trial evidence that a DUI suspect refused to submit to a blood test because such refusal constitutes the exercise of the right against self-incrimination under </w:t>
      </w:r>
      <w:hyperlink r:id="rId44" w:history="1">
        <w:r>
          <w:rPr>
            <w:rFonts w:ascii="arial" w:eastAsia="arial" w:hAnsi="arial" w:cs="arial"/>
            <w:b w:val="0"/>
            <w:i/>
            <w:strike w:val="0"/>
            <w:noProof w:val="0"/>
            <w:color w:val="0077CC"/>
            <w:position w:val="0"/>
            <w:sz w:val="20"/>
            <w:u w:val="single"/>
            <w:shd w:val="clear" w:color="auto" w:fill="FFFFFF"/>
            <w:vertAlign w:val="baseline"/>
          </w:rPr>
          <w:t>Paragraph XVI</w:t>
        </w:r>
      </w:hyperlink>
      <w:r>
        <w:rPr>
          <w:rFonts w:ascii="arial" w:eastAsia="arial" w:hAnsi="arial" w:cs="arial"/>
          <w:b w:val="0"/>
          <w:i w:val="0"/>
          <w:strike w:val="0"/>
          <w:noProof w:val="0"/>
          <w:color w:val="000000"/>
          <w:position w:val="0"/>
          <w:sz w:val="20"/>
          <w:u w:val="none"/>
          <w:vertAlign w:val="baseline"/>
        </w:rPr>
        <w:t xml:space="preserve">, the trial court erred. In </w:t>
      </w:r>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we held only that “</w:t>
      </w:r>
      <w:hyperlink r:id="rId45" w:history="1">
        <w:r>
          <w:rPr>
            <w:rFonts w:ascii="arial" w:eastAsia="arial" w:hAnsi="arial" w:cs="arial"/>
            <w:b w:val="0"/>
            <w:i/>
            <w:strike w:val="0"/>
            <w:noProof w:val="0"/>
            <w:color w:val="0077CC"/>
            <w:position w:val="0"/>
            <w:sz w:val="20"/>
            <w:u w:val="single"/>
            <w:shd w:val="clear" w:color="auto" w:fill="FFFFFF"/>
            <w:vertAlign w:val="baseline"/>
          </w:rPr>
          <w:t>Paragraph XVI</w:t>
        </w:r>
      </w:hyperlink>
      <w:r>
        <w:rPr>
          <w:rFonts w:ascii="arial" w:eastAsia="arial" w:hAnsi="arial" w:cs="arial"/>
          <w:b w:val="0"/>
          <w:i w:val="0"/>
          <w:strike w:val="0"/>
          <w:noProof w:val="0"/>
          <w:color w:val="000000"/>
          <w:position w:val="0"/>
          <w:sz w:val="20"/>
          <w:u w:val="none"/>
          <w:vertAlign w:val="baseline"/>
        </w:rPr>
        <w:t xml:space="preserve"> precludes admission of evidence that a suspect refused to consent to a </w:t>
      </w:r>
      <w:r>
        <w:rPr>
          <w:rFonts w:ascii="arial" w:eastAsia="arial" w:hAnsi="arial" w:cs="arial"/>
          <w:b w:val="0"/>
          <w:i/>
          <w:strike w:val="0"/>
          <w:noProof w:val="0"/>
          <w:color w:val="000000"/>
          <w:position w:val="0"/>
          <w:sz w:val="20"/>
          <w:u w:val="none"/>
          <w:vertAlign w:val="baseline"/>
        </w:rPr>
        <w:t>breath</w:t>
      </w:r>
      <w:r>
        <w:rPr>
          <w:rFonts w:ascii="arial" w:eastAsia="arial" w:hAnsi="arial" w:cs="arial"/>
          <w:b w:val="0"/>
          <w:i w:val="0"/>
          <w:strike w:val="0"/>
          <w:noProof w:val="0"/>
          <w:color w:val="000000"/>
          <w:position w:val="0"/>
          <w:sz w:val="20"/>
          <w:u w:val="none"/>
          <w:vertAlign w:val="baseline"/>
        </w:rPr>
        <w:t xml:space="preserve"> test. </w:t>
      </w:r>
      <w:bookmarkStart w:id="39" w:name="Bookmark_LNHNREFclscc2"/>
      <w:bookmarkEnd w:id="39"/>
      <w:r>
        <w:rPr>
          <w:rFonts w:ascii="arial" w:eastAsia="arial" w:hAnsi="arial" w:cs="arial"/>
          <w:b w:val="0"/>
          <w:i w:val="0"/>
          <w:strike w:val="0"/>
          <w:noProof w:val="0"/>
          <w:color w:val="000000"/>
          <w:position w:val="0"/>
          <w:sz w:val="20"/>
          <w:u w:val="none"/>
          <w:vertAlign w:val="baseline"/>
        </w:rPr>
        <w:t xml:space="preserve">Consequently, we conclude that </w:t>
      </w:r>
      <w:hyperlink r:id="rId46" w:history="1">
        <w:r>
          <w:rPr>
            <w:rFonts w:ascii="arial" w:eastAsia="arial" w:hAnsi="arial" w:cs="arial"/>
            <w:b w:val="0"/>
            <w:i/>
            <w:strike w:val="0"/>
            <w:noProof w:val="0"/>
            <w:color w:val="0077CC"/>
            <w:position w:val="0"/>
            <w:sz w:val="20"/>
            <w:u w:val="single"/>
            <w:shd w:val="clear" w:color="auto" w:fill="FFFFFF"/>
            <w:vertAlign w:val="baseline"/>
          </w:rPr>
          <w:t>OCGA §§ 40-5-67.1 (b)</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shd w:val="clear" w:color="auto" w:fill="FFFFFF"/>
            <w:vertAlign w:val="baseline"/>
          </w:rPr>
          <w:t>40-6-392 (d)</w:t>
        </w:r>
      </w:hyperlink>
      <w:r>
        <w:rPr>
          <w:rFonts w:ascii="arial" w:eastAsia="arial" w:hAnsi="arial" w:cs="arial"/>
          <w:b w:val="0"/>
          <w:i w:val="0"/>
          <w:strike w:val="0"/>
          <w:noProof w:val="0"/>
          <w:color w:val="000000"/>
          <w:position w:val="0"/>
          <w:sz w:val="20"/>
          <w:u w:val="none"/>
          <w:vertAlign w:val="baseline"/>
        </w:rPr>
        <w:t xml:space="preserve"> are unconstitutional to the extent that they allow a defendant's refusal to submit to a </w:t>
      </w:r>
      <w:r>
        <w:rPr>
          <w:rFonts w:ascii="arial" w:eastAsia="arial" w:hAnsi="arial" w:cs="arial"/>
          <w:b w:val="0"/>
          <w:i/>
          <w:strike w:val="0"/>
          <w:noProof w:val="0"/>
          <w:color w:val="000000"/>
          <w:position w:val="0"/>
          <w:sz w:val="20"/>
          <w:u w:val="none"/>
          <w:vertAlign w:val="baseline"/>
        </w:rPr>
        <w:t>breath</w:t>
      </w:r>
      <w:r>
        <w:rPr>
          <w:rFonts w:ascii="arial" w:eastAsia="arial" w:hAnsi="arial" w:cs="arial"/>
          <w:b w:val="0"/>
          <w:i w:val="0"/>
          <w:strike w:val="0"/>
          <w:noProof w:val="0"/>
          <w:color w:val="000000"/>
          <w:position w:val="0"/>
          <w:sz w:val="20"/>
          <w:u w:val="none"/>
          <w:vertAlign w:val="baseline"/>
        </w:rPr>
        <w:t xml:space="preserve"> test to be admitted into evidence at a criminal trial.” </w:t>
      </w:r>
      <w:bookmarkStart w:id="40" w:name="Bookmark_I6FH9YGN28T4FN0010000400"/>
      <w:bookmarkEnd w:id="40"/>
      <w:hyperlink r:id="rId48" w:history="1">
        <w:r>
          <w:rPr>
            <w:rFonts w:ascii="arial" w:eastAsia="arial" w:hAnsi="arial" w:cs="arial"/>
            <w:b w:val="0"/>
            <w:i/>
            <w:strike w:val="0"/>
            <w:noProof w:val="0"/>
            <w:color w:val="0077CC"/>
            <w:position w:val="0"/>
            <w:sz w:val="20"/>
            <w:u w:val="single"/>
            <w:shd w:val="clear" w:color="auto" w:fill="FFFFFF"/>
            <w:vertAlign w:val="baseline"/>
          </w:rPr>
          <w:t>Elliott</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305 Ga. at 223 (IV) (E)</w:t>
        </w:r>
      </w:hyperlink>
      <w:r>
        <w:rPr>
          <w:rFonts w:ascii="arial" w:eastAsia="arial" w:hAnsi="arial" w:cs="arial"/>
          <w:b w:val="0"/>
          <w:i w:val="0"/>
          <w:strike w:val="0"/>
          <w:noProof w:val="0"/>
          <w:color w:val="000000"/>
          <w:position w:val="0"/>
          <w:sz w:val="20"/>
          <w:u w:val="none"/>
          <w:vertAlign w:val="baseline"/>
        </w:rPr>
        <w:t xml:space="preserve"> (emphasis supplied). </w:t>
      </w:r>
      <w:bookmarkStart w:id="41" w:name="Bookmark_I6FH9YGP2D6N7N0030000400"/>
      <w:bookmarkEnd w:id="41"/>
      <w:r>
        <w:rPr>
          <w:rFonts w:ascii="arial" w:eastAsia="arial" w:hAnsi="arial" w:cs="arial"/>
          <w:b w:val="0"/>
          <w:i w:val="0"/>
          <w:strike w:val="0"/>
          <w:noProof w:val="0"/>
          <w:color w:val="000000"/>
          <w:position w:val="0"/>
          <w:sz w:val="20"/>
          <w:u w:val="none"/>
          <w:vertAlign w:val="baseline"/>
        </w:rPr>
        <w:t xml:space="preserve">See </w:t>
      </w:r>
      <w:bookmarkStart w:id="42" w:name="Bookmark_I6FH9YGN28T4FN0030000400"/>
      <w:bookmarkEnd w:id="42"/>
      <w:hyperlink r:id="rId50" w:history="1">
        <w:r>
          <w:rPr>
            <w:rFonts w:ascii="arial" w:eastAsia="arial" w:hAnsi="arial" w:cs="arial"/>
            <w:b w:val="0"/>
            <w:i/>
            <w:strike w:val="0"/>
            <w:noProof w:val="0"/>
            <w:color w:val="0077CC"/>
            <w:position w:val="0"/>
            <w:sz w:val="20"/>
            <w:u w:val="single"/>
            <w:shd w:val="clear" w:color="auto" w:fill="FFFFFF"/>
            <w:vertAlign w:val="baseline"/>
          </w:rPr>
          <w:t>Olevik</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302 Ga. at 244 (2) (c) (iii)</w:t>
        </w:r>
      </w:hyperlink>
      <w:r>
        <w:rPr>
          <w:rFonts w:ascii="arial" w:eastAsia="arial" w:hAnsi="arial" w:cs="arial"/>
          <w:b w:val="0"/>
          <w:i w:val="0"/>
          <w:strike w:val="0"/>
          <w:noProof w:val="0"/>
          <w:color w:val="000000"/>
          <w:position w:val="0"/>
          <w:sz w:val="20"/>
          <w:u w:val="none"/>
          <w:vertAlign w:val="baseline"/>
        </w:rPr>
        <w:t xml:space="preserve"> (“Compelling a defendant to perform an act that is incriminating in nature is precisely what </w:t>
      </w:r>
      <w:hyperlink r:id="rId52" w:history="1">
        <w:r>
          <w:rPr>
            <w:rFonts w:ascii="arial" w:eastAsia="arial" w:hAnsi="arial" w:cs="arial"/>
            <w:b w:val="0"/>
            <w:i/>
            <w:strike w:val="0"/>
            <w:noProof w:val="0"/>
            <w:color w:val="0077CC"/>
            <w:position w:val="0"/>
            <w:sz w:val="20"/>
            <w:u w:val="single"/>
            <w:shd w:val="clear" w:color="auto" w:fill="FFFFFF"/>
            <w:vertAlign w:val="baseline"/>
          </w:rPr>
          <w:t>Paragraph XVI</w:t>
        </w:r>
      </w:hyperlink>
      <w:r>
        <w:rPr>
          <w:rFonts w:ascii="arial" w:eastAsia="arial" w:hAnsi="arial" w:cs="arial"/>
          <w:b w:val="0"/>
          <w:i w:val="0"/>
          <w:strike w:val="0"/>
          <w:noProof w:val="0"/>
          <w:color w:val="000000"/>
          <w:position w:val="0"/>
          <w:sz w:val="20"/>
          <w:u w:val="none"/>
          <w:vertAlign w:val="baseline"/>
        </w:rPr>
        <w:t xml:space="preserve"> prohibits.”).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hold in </w:t>
      </w:r>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or in any</w:t>
      </w:r>
      <w:r>
        <w:rPr>
          <w:rFonts w:ascii="arial" w:eastAsia="arial" w:hAnsi="arial" w:cs="arial"/>
          <w:b w:val="0"/>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other case, that evidence that a DUI suspect asserted her right under the </w:t>
      </w:r>
      <w:hyperlink r:id="rId53"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refuse to submit to a warrantless blood test is inadmissible at trial on the basis that, as Dias claims, use of such evidence would infringe upon her right against unreasonable searches and seizures under the </w:t>
      </w:r>
      <w:hyperlink r:id="rId54" w:history="1">
        <w:r>
          <w:rPr>
            <w:rFonts w:ascii="arial" w:eastAsia="arial" w:hAnsi="arial" w:cs="arial"/>
            <w:b w:val="0"/>
            <w:i/>
            <w:strike w:val="0"/>
            <w:noProof w:val="0"/>
            <w:color w:val="0077CC"/>
            <w:position w:val="0"/>
            <w:sz w:val="20"/>
            <w:u w:val="single"/>
            <w:shd w:val="clear" w:color="auto" w:fill="FFFFFF"/>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her right to due process under the </w:t>
      </w:r>
      <w:hyperlink r:id="rId55" w:history="1">
        <w:r>
          <w:rPr>
            <w:rFonts w:ascii="arial" w:eastAsia="arial" w:hAnsi="arial" w:cs="arial"/>
            <w:b w:val="0"/>
            <w:i/>
            <w:strike w:val="0"/>
            <w:noProof w:val="0"/>
            <w:color w:val="0077CC"/>
            <w:position w:val="0"/>
            <w:sz w:val="20"/>
            <w:u w:val="single"/>
            <w:shd w:val="clear" w:color="auto" w:fill="FFFFFF"/>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w:t>
      </w:r>
      <w:hyperlink r:id="rId56" w:history="1">
        <w:r>
          <w:rPr>
            <w:rFonts w:ascii="arial" w:eastAsia="arial" w:hAnsi="arial" w:cs="arial"/>
            <w:b w:val="0"/>
            <w:i/>
            <w:strike w:val="0"/>
            <w:noProof w:val="0"/>
            <w:color w:val="0077CC"/>
            <w:position w:val="0"/>
            <w:sz w:val="20"/>
            <w:u w:val="single"/>
            <w:shd w:val="clear" w:color="auto" w:fill="FFFFFF"/>
            <w:vertAlign w:val="baseline"/>
          </w:rPr>
          <w:t>Paragraph XVI</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novel constitutional </w:t>
      </w:r>
      <w:r>
        <w:rPr>
          <w:rFonts w:ascii="arial" w:eastAsia="arial" w:hAnsi="arial" w:cs="arial"/>
          <w:b w:val="0"/>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question that was raised below — whether the evidence at issue is inadmissible on grounds other than the self-incrimination holdings in </w:t>
      </w:r>
      <w:bookmarkStart w:id="59" w:name="Bookmark_I6FH9YGP2D6N7N0030000400_2"/>
      <w:bookmarkEnd w:id="59"/>
      <w:bookmarkStart w:id="60" w:name="Bookmark_I6FH9YGN2N1PTN0030000400_2"/>
      <w:bookmarkEnd w:id="60"/>
      <w:bookmarkStart w:id="61" w:name="Bookmark_I6FH9YGN28T4FN0040000400_2"/>
      <w:bookmarkEnd w:id="61"/>
      <w:bookmarkStart w:id="62" w:name="Bookmark_I6FH9YGN28T4FN0020000400_2"/>
      <w:bookmarkEnd w:id="62"/>
      <w:bookmarkStart w:id="63" w:name="Bookmark_I6FH9YGN28T4FN0050000400"/>
      <w:bookmarkEnd w:id="63"/>
      <w:hyperlink r:id="rId57" w:history="1">
        <w:r>
          <w:rPr>
            <w:rFonts w:ascii="arial" w:eastAsia="arial" w:hAnsi="arial" w:cs="arial"/>
            <w:b w:val="0"/>
            <w:i/>
            <w:strike w:val="0"/>
            <w:noProof w:val="0"/>
            <w:color w:val="0077CC"/>
            <w:position w:val="0"/>
            <w:sz w:val="20"/>
            <w:u w:val="single"/>
            <w:shd w:val="clear" w:color="auto" w:fill="FFFFFF"/>
            <w:vertAlign w:val="baseline"/>
          </w:rPr>
          <w:t>Olevik</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Elliott</w:t>
      </w:r>
      <w:r>
        <w:rPr>
          <w:rFonts w:ascii="arial" w:eastAsia="arial" w:hAnsi="arial" w:cs="arial"/>
          <w:b w:val="0"/>
          <w:i w:val="0"/>
          <w:strike w:val="0"/>
          <w:noProof w:val="0"/>
          <w:color w:val="000000"/>
          <w:position w:val="0"/>
          <w:sz w:val="20"/>
          <w:u w:val="none"/>
          <w:vertAlign w:val="baseline"/>
        </w:rPr>
        <w:t xml:space="preserve"> — was not directly and distinctly ruled on by the trial court. That remains an open question,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on which we express no view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we vacate the trial court's judgment excluding the blood-test refusal evidence, and we remand to the trial court for consideration of any other basis for excluding such evidence raised in the proceedings below.</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All the Justices concur.</w:t>
      </w:r>
    </w:p>
    <w:p>
      <w:pPr>
        <w:keepNext w:val="0"/>
        <w:spacing w:before="240" w:after="0" w:line="260" w:lineRule="atLeast"/>
        <w:ind w:left="0" w:right="0" w:firstLine="0"/>
        <w:jc w:val="left"/>
      </w:pPr>
      <w:bookmarkStart w:id="67" w:name="Concur by"/>
      <w:bookmarkEnd w:id="67"/>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68" w:name="Concur"/>
      <w:bookmarkEnd w:id="68"/>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 concurring.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concur in the Court's opinion today that vacates the trial court's order and remands the case. That order declared that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Georgia statute violates the Georgia Constitution on a search and seizure basis but grounded that conclusion in inapplicable precedent about compelled self-incrimination that expressly said it didn't apply to search and seizure issues. </w:t>
      </w:r>
      <w:bookmarkStart w:id="69" w:name="Bookmark_II08FP49PHGJ003RRM9W002XX"/>
      <w:bookmarkEnd w:id="69"/>
      <w:bookmarkStart w:id="70" w:name="Bookmark_II08FP49PHGJ003RRM9W002XY"/>
      <w:bookmarkEnd w:id="70"/>
      <w:bookmarkStart w:id="71" w:name="Bookmark_II08FP49PHGJ003RRM9W002Y0"/>
      <w:bookmarkEnd w:id="71"/>
      <w:bookmarkStart w:id="72" w:name="Bookmark_I6FH9YGR28T4FV0020000400"/>
      <w:bookmarkEnd w:id="72"/>
      <w:r>
        <w:rPr>
          <w:rFonts w:ascii="arial" w:eastAsia="arial" w:hAnsi="arial" w:cs="arial"/>
          <w:b w:val="0"/>
          <w:i w:val="0"/>
          <w:strike w:val="0"/>
          <w:noProof w:val="0"/>
          <w:color w:val="000000"/>
          <w:position w:val="0"/>
          <w:sz w:val="20"/>
          <w:u w:val="none"/>
          <w:vertAlign w:val="baseline"/>
        </w:rPr>
        <w:t>Instead, the state constitutional issue</w:t>
      </w:r>
      <w:r>
        <w:rPr>
          <w:rFonts w:ascii="arial" w:eastAsia="arial" w:hAnsi="arial" w:cs="arial"/>
          <w:b w:val="0"/>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argued below is novel; the trial court did not engage with the novelty. Vacatur and remand for consideration of the actual novel issue is appropriate in such circumstances. But it's also appropriate for another reason: our caselaw has over and over again made clear that Georgia courts should not reach a constitutional challenge to a state statute if there's an alternative ground on which to decide the case. See, e.g., </w:t>
      </w:r>
      <w:bookmarkStart w:id="73" w:name="Bookmark_I6FH9YGR28T4FV0010000400"/>
      <w:bookmarkEnd w:id="73"/>
      <w:hyperlink r:id="rId58" w:history="1">
        <w:r>
          <w:rPr>
            <w:rFonts w:ascii="arial" w:eastAsia="arial" w:hAnsi="arial" w:cs="arial"/>
            <w:b w:val="0"/>
            <w:i/>
            <w:strike w:val="0"/>
            <w:noProof w:val="0"/>
            <w:color w:val="0077CC"/>
            <w:position w:val="0"/>
            <w:sz w:val="20"/>
            <w:u w:val="single"/>
            <w:shd w:val="clear" w:color="auto" w:fill="FFFFFF"/>
            <w:vertAlign w:val="baseline"/>
          </w:rPr>
          <w:t>State v. Randall</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318 Ga. 79, 81-82 (2) (897 SE2d 444) (2024)</w:t>
        </w:r>
      </w:hyperlink>
      <w:r>
        <w:rPr>
          <w:rFonts w:ascii="arial" w:eastAsia="arial" w:hAnsi="arial" w:cs="arial"/>
          <w:b w:val="0"/>
          <w:i w:val="0"/>
          <w:strike w:val="0"/>
          <w:noProof w:val="0"/>
          <w:color w:val="000000"/>
          <w:position w:val="0"/>
          <w:sz w:val="20"/>
          <w:u w:val="none"/>
          <w:vertAlign w:val="baseline"/>
        </w:rPr>
        <w:t xml:space="preserve">; </w:t>
      </w:r>
      <w:bookmarkStart w:id="74" w:name="Bookmark_I6FH9YGR28T4FV0030000400"/>
      <w:bookmarkEnd w:id="74"/>
      <w:hyperlink r:id="rId60" w:history="1">
        <w:r>
          <w:rPr>
            <w:rFonts w:ascii="arial" w:eastAsia="arial" w:hAnsi="arial" w:cs="arial"/>
            <w:b w:val="0"/>
            <w:i/>
            <w:strike w:val="0"/>
            <w:noProof w:val="0"/>
            <w:color w:val="0077CC"/>
            <w:position w:val="0"/>
            <w:sz w:val="20"/>
            <w:u w:val="single"/>
            <w:shd w:val="clear" w:color="auto" w:fill="FFFFFF"/>
            <w:vertAlign w:val="baseline"/>
          </w:rPr>
          <w:t>Sons of Confederate Veterans v. Henry County Bd. of Commrs.</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315 Ga. 39, 65 (2) (d) (i) (880 SE2d 168) (2022)</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FH9YGR28T4FV0050000400"/>
      <w:bookmarkEnd w:id="75"/>
      <w:hyperlink r:id="rId62" w:history="1">
        <w:r>
          <w:rPr>
            <w:rFonts w:ascii="arial" w:eastAsia="arial" w:hAnsi="arial" w:cs="arial"/>
            <w:b w:val="0"/>
            <w:i/>
            <w:strike w:val="0"/>
            <w:noProof w:val="0"/>
            <w:color w:val="0077CC"/>
            <w:position w:val="0"/>
            <w:sz w:val="20"/>
            <w:u w:val="single"/>
            <w:shd w:val="clear" w:color="auto" w:fill="FFFFFF"/>
            <w:vertAlign w:val="baseline"/>
          </w:rPr>
          <w:t>Deal v. Coleman</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294 Ga. 170, 171 (1) n.7 (751 SE2d 337)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II08FP49PHGJ003RRM9W002XW"/>
      <w:bookmarkEnd w:id="76"/>
      <w:bookmarkStart w:id="77" w:name="Bookmark_I6FH9YGR28T4FW0030000400"/>
      <w:bookmarkEnd w:id="77"/>
      <w:r>
        <w:rPr>
          <w:rFonts w:ascii="arial" w:eastAsia="arial" w:hAnsi="arial" w:cs="arial"/>
          <w:b w:val="0"/>
          <w:i w:val="0"/>
          <w:strike w:val="0"/>
          <w:noProof w:val="0"/>
          <w:color w:val="000000"/>
          <w:position w:val="0"/>
          <w:sz w:val="20"/>
          <w:u w:val="none"/>
          <w:vertAlign w:val="baseline"/>
        </w:rPr>
        <w:t xml:space="preserve">There may well be such a ground here. The Georgia Evidence Code provides that relevant evidence may be excluded if, among other things, “its probative value is substantially outweighed by the danger of unfair prejudice[.]” </w:t>
      </w:r>
      <w:hyperlink r:id="rId64" w:history="1">
        <w:r>
          <w:rPr>
            <w:rFonts w:ascii="arial" w:eastAsia="arial" w:hAnsi="arial" w:cs="arial"/>
            <w:b w:val="0"/>
            <w:i/>
            <w:strike w:val="0"/>
            <w:noProof w:val="0"/>
            <w:color w:val="0077CC"/>
            <w:position w:val="0"/>
            <w:sz w:val="20"/>
            <w:u w:val="single"/>
            <w:shd w:val="clear" w:color="auto" w:fill="FFFFFF"/>
            <w:vertAlign w:val="baseline"/>
          </w:rPr>
          <w:t>OCGA § 24-4-403</w:t>
        </w:r>
      </w:hyperlink>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It seems to me that evidence of a criminal defendant's refusal to consent to a warrantless search may be relevant to whether the defendant believed a search would have discovered incriminating evidence, in that it may have at least more than zero probative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value that the defendant was conscious of guilt. See </w:t>
      </w:r>
      <w:bookmarkStart w:id="78" w:name="Bookmark_I6FH9YGR28T4FW0020000400"/>
      <w:bookmarkEnd w:id="78"/>
      <w:hyperlink r:id="rId66" w:history="1">
        <w:r>
          <w:rPr>
            <w:rFonts w:ascii="arial" w:eastAsia="arial" w:hAnsi="arial" w:cs="arial"/>
            <w:b w:val="0"/>
            <w:i/>
            <w:strike w:val="0"/>
            <w:noProof w:val="0"/>
            <w:color w:val="0077CC"/>
            <w:position w:val="0"/>
            <w:sz w:val="20"/>
            <w:u w:val="single"/>
            <w:shd w:val="clear" w:color="auto" w:fill="FFFFFF"/>
            <w:vertAlign w:val="baseline"/>
          </w:rPr>
          <w:t>Olds v. State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299 Ga. 65, 75 (2) (786 SE2d 633) (2016)</w:t>
        </w:r>
      </w:hyperlink>
      <w:r>
        <w:rPr>
          <w:rFonts w:ascii="arial" w:eastAsia="arial" w:hAnsi="arial" w:cs="arial"/>
          <w:b w:val="0"/>
          <w:i w:val="0"/>
          <w:strike w:val="0"/>
          <w:noProof w:val="0"/>
          <w:color w:val="000000"/>
          <w:position w:val="0"/>
          <w:sz w:val="20"/>
          <w:u w:val="none"/>
          <w:vertAlign w:val="baseline"/>
        </w:rPr>
        <w:t xml:space="preserve"> (explaining that relevance “is a binary concept — evidence is either relevant or it is not” and that evidence is relevant when “it has ‘</w:t>
      </w:r>
      <w:r>
        <w:rPr>
          <w:rFonts w:ascii="arial" w:eastAsia="arial" w:hAnsi="arial" w:cs="arial"/>
          <w:b w:val="0"/>
          <w:i/>
          <w:strike w:val="0"/>
          <w:noProof w:val="0"/>
          <w:color w:val="000000"/>
          <w:position w:val="0"/>
          <w:sz w:val="20"/>
          <w:u w:val="none"/>
          <w:vertAlign w:val="baseline"/>
        </w:rPr>
        <w:t>any tendency</w:t>
      </w:r>
      <w:r>
        <w:rPr>
          <w:rFonts w:ascii="arial" w:eastAsia="arial" w:hAnsi="arial" w:cs="arial"/>
          <w:b w:val="0"/>
          <w:i w:val="0"/>
          <w:strike w:val="0"/>
          <w:noProof w:val="0"/>
          <w:color w:val="000000"/>
          <w:position w:val="0"/>
          <w:sz w:val="20"/>
          <w:u w:val="none"/>
          <w:vertAlign w:val="baseline"/>
        </w:rPr>
        <w:t>’ to prove or disprove a fact” (emphasis in original)).</w:t>
      </w:r>
    </w:p>
    <w:p>
      <w:pPr>
        <w:keepNext w:val="0"/>
        <w:spacing w:before="240" w:after="0" w:line="260" w:lineRule="atLeast"/>
        <w:ind w:left="0" w:right="0" w:firstLine="0"/>
        <w:jc w:val="both"/>
      </w:pPr>
      <w:bookmarkStart w:id="79" w:name="Bookmark_II08FP49PHGJ003RRM9W002XV"/>
      <w:bookmarkEnd w:id="79"/>
      <w:bookmarkStart w:id="80" w:name="Bookmark_I6FH9YGR28T4FW0050000400"/>
      <w:bookmarkEnd w:id="80"/>
      <w:r>
        <w:rPr>
          <w:rFonts w:ascii="arial" w:eastAsia="arial" w:hAnsi="arial" w:cs="arial"/>
          <w:b w:val="0"/>
          <w:i w:val="0"/>
          <w:strike w:val="0"/>
          <w:noProof w:val="0"/>
          <w:color w:val="000000"/>
          <w:position w:val="0"/>
          <w:sz w:val="20"/>
          <w:u w:val="none"/>
          <w:vertAlign w:val="baseline"/>
        </w:rPr>
        <w:t xml:space="preserve">But </w:t>
      </w:r>
      <w:hyperlink r:id="rId68"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is about weighing the probative value of relevant evidence against the danger of unfair prejudice that evidence poses. And probative value is relative, not binary; as distinguished from relevance, “the probative value of evidence derives in large part from the </w:t>
      </w:r>
      <w:r>
        <w:rPr>
          <w:rFonts w:ascii="arial" w:eastAsia="arial" w:hAnsi="arial" w:cs="arial"/>
          <w:b w:val="0"/>
          <w:i/>
          <w:strike w:val="0"/>
          <w:noProof w:val="0"/>
          <w:color w:val="000000"/>
          <w:position w:val="0"/>
          <w:sz w:val="20"/>
          <w:u w:val="none"/>
          <w:vertAlign w:val="baseline"/>
        </w:rPr>
        <w:t>extent to which</w:t>
      </w:r>
      <w:r>
        <w:rPr>
          <w:rFonts w:ascii="arial" w:eastAsia="arial" w:hAnsi="arial" w:cs="arial"/>
          <w:b w:val="0"/>
          <w:i w:val="0"/>
          <w:strike w:val="0"/>
          <w:noProof w:val="0"/>
          <w:color w:val="000000"/>
          <w:position w:val="0"/>
          <w:sz w:val="20"/>
          <w:u w:val="none"/>
          <w:vertAlign w:val="baseline"/>
        </w:rPr>
        <w:t xml:space="preserve"> the evidence tends to make the existence of a fact more or less probable.” </w:t>
      </w:r>
      <w:bookmarkStart w:id="81" w:name="Bookmark_I6FH9YGR28T4FW0040000400"/>
      <w:bookmarkEnd w:id="81"/>
      <w:hyperlink r:id="rId69" w:history="1">
        <w:r>
          <w:rPr>
            <w:rFonts w:ascii="arial" w:eastAsia="arial" w:hAnsi="arial" w:cs="arial"/>
            <w:b w:val="0"/>
            <w:i/>
            <w:strike w:val="0"/>
            <w:noProof w:val="0"/>
            <w:color w:val="0077CC"/>
            <w:position w:val="0"/>
            <w:sz w:val="20"/>
            <w:u w:val="single"/>
            <w:shd w:val="clear" w:color="auto" w:fill="FFFFFF"/>
            <w:vertAlign w:val="baseline"/>
          </w:rPr>
          <w:t>Olds</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299 Ga. at 75 (2)</w:t>
        </w:r>
      </w:hyperlink>
      <w:r>
        <w:rPr>
          <w:rFonts w:ascii="arial" w:eastAsia="arial" w:hAnsi="arial" w:cs="arial"/>
          <w:b w:val="0"/>
          <w:i w:val="0"/>
          <w:strike w:val="0"/>
          <w:noProof w:val="0"/>
          <w:color w:val="000000"/>
          <w:position w:val="0"/>
          <w:sz w:val="20"/>
          <w:u w:val="none"/>
          <w:vertAlign w:val="baseline"/>
        </w:rPr>
        <w:t xml:space="preserve">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that someone refuses to consent to a warrantless search may be relevant in the sense that it provides nonzero probative value to prove consciousness of guilt. But it seems to me that the probative value of that evidence will rarely be more than barely nonzero. There are a host of reasons why completely law-abiding Georgians may decline to consent to a warrantless search:</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might be busy.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might be in a bad mood.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might be late — to work, to pick up a child, or some other important errand.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They might be afraid of, or suspicious of, law</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enforcement, and therefore wary of prolonging their encounter.</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[*266] </w:t>
      </w:r>
    </w:p>
    <w:p>
      <w:pPr>
        <w:keepNext w:val="0"/>
        <w:spacing w:before="120" w:after="0" w:line="260" w:lineRule="atLeast"/>
        <w:ind w:left="1120" w:right="0"/>
        <w:jc w:val="both"/>
      </w:pPr>
      <w:r>
        <w:rPr>
          <w:rFonts w:ascii="arial" w:eastAsia="arial" w:hAnsi="arial" w:cs="arial"/>
          <w:b w:val="0"/>
          <w:i w:val="0"/>
          <w:strike w:val="0"/>
          <w:noProof w:val="0"/>
          <w:color w:val="000000"/>
          <w:position w:val="0"/>
          <w:sz w:val="20"/>
          <w:u w:val="none"/>
          <w:vertAlign w:val="baseline"/>
        </w:rPr>
        <w:t>They might have a deeply held appreciation for our hard-won constitutional rights and are simply declining on principle.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They might have a host of other reasons that the cost of publishing these </w:t>
      </w:r>
      <w:r>
        <w:rPr>
          <w:rFonts w:ascii="arial" w:eastAsia="arial" w:hAnsi="arial" w:cs="arial"/>
          <w:b w:val="0"/>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opinions renders unwise for me to continue enumerating.</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when the warrantless search for which consent is requested involves needles puncturing their skin — as the one here did — they might just have a thing about needles and/or the sight of their own blood.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those are perfectly good reasons not to consent. None of those reasons offer any basis for suspecting the nonconsenting person of a crime. And so the mere fact that a person asked by law enforcement if she will allow a warrantless blood draw says “no” — an answer both the United States and Georgia Constitutions vest every Georgian with the absolute right to give — usually cannot be said to have much more than barely nonzero probative value as to guilt of a suspected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 Georgian says “no” when asked to submit to a warrantless blood draw and a prosecutor then seeks to offer that response as affirmative evidence of guilt, the risk of unfair prejudice will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often be much higher than barely nonzero.</w:t>
      </w:r>
    </w:p>
    <w:p>
      <w:pPr>
        <w:keepNext w:val="0"/>
        <w:spacing w:before="240" w:after="0" w:line="260" w:lineRule="atLeast"/>
        <w:ind w:left="0" w:right="0" w:firstLine="0"/>
        <w:jc w:val="both"/>
      </w:pPr>
      <w:bookmarkStart w:id="82" w:name="Bookmark_II08FP49PHGJ003RRM9W002XT"/>
      <w:bookmarkEnd w:id="82"/>
      <w:bookmarkStart w:id="83" w:name="Bookmark_I6FH9YGS2N1PTX0020000400"/>
      <w:bookmarkEnd w:id="83"/>
      <w:r>
        <w:rPr>
          <w:rFonts w:ascii="arial" w:eastAsia="arial" w:hAnsi="arial" w:cs="arial"/>
          <w:b w:val="0"/>
          <w:i w:val="0"/>
          <w:strike w:val="0"/>
          <w:noProof w:val="0"/>
          <w:color w:val="000000"/>
          <w:position w:val="0"/>
          <w:sz w:val="20"/>
          <w:u w:val="none"/>
          <w:vertAlign w:val="baseline"/>
        </w:rPr>
        <w:t>And whether or not that alternative ground is ultimately dispositive, the trial court has not yet addressed it.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It should do so on remand before reaching any constitutional issues. See </w:t>
      </w:r>
      <w:bookmarkStart w:id="88" w:name="Bookmark_I6FH9YGS2N1PTX0010000400"/>
      <w:bookmarkEnd w:id="88"/>
      <w:hyperlink r:id="rId71" w:history="1">
        <w:r>
          <w:rPr>
            <w:rFonts w:ascii="arial" w:eastAsia="arial" w:hAnsi="arial" w:cs="arial"/>
            <w:b w:val="0"/>
            <w:i/>
            <w:strike w:val="0"/>
            <w:noProof w:val="0"/>
            <w:color w:val="0077CC"/>
            <w:position w:val="0"/>
            <w:sz w:val="20"/>
            <w:u w:val="single"/>
            <w:shd w:val="clear" w:color="auto" w:fill="FFFFFF"/>
            <w:vertAlign w:val="baseline"/>
          </w:rPr>
          <w:t>Randall</w:t>
        </w:r>
      </w:hyperlink>
      <w:hyperlink r:id="rId72" w:history="1">
        <w:r>
          <w:rPr>
            <w:rFonts w:ascii="arial" w:eastAsia="arial" w:hAnsi="arial" w:cs="arial"/>
            <w:b w:val="0"/>
            <w:i/>
            <w:strike w:val="0"/>
            <w:noProof w:val="0"/>
            <w:color w:val="0077CC"/>
            <w:position w:val="0"/>
            <w:sz w:val="20"/>
            <w:u w:val="single"/>
            <w:shd w:val="clear" w:color="auto" w:fill="FFFFFF"/>
            <w:vertAlign w:val="baseline"/>
          </w:rPr>
          <w:t>, 318 Ga. at 82 (2)</w:t>
        </w:r>
      </w:hyperlink>
      <w:r>
        <w:rPr>
          <w:rFonts w:ascii="arial" w:eastAsia="arial" w:hAnsi="arial" w:cs="arial"/>
          <w:b w:val="0"/>
          <w:i w:val="0"/>
          <w:strike w:val="0"/>
          <w:noProof w:val="0"/>
          <w:color w:val="000000"/>
          <w:position w:val="0"/>
          <w:sz w:val="20"/>
          <w:u w:val="none"/>
          <w:vertAlign w:val="baseline"/>
        </w:rPr>
        <w:t xml:space="preserve"> (trial court should have resolved </w:t>
      </w:r>
      <w:hyperlink r:id="rId73" w:history="1">
        <w:r>
          <w:rPr>
            <w:rFonts w:ascii="arial" w:eastAsia="arial" w:hAnsi="arial" w:cs="arial"/>
            <w:b w:val="0"/>
            <w:i/>
            <w:strike w:val="0"/>
            <w:noProof w:val="0"/>
            <w:color w:val="0077CC"/>
            <w:position w:val="0"/>
            <w:sz w:val="20"/>
            <w:u w:val="single"/>
            <w:shd w:val="clear" w:color="auto" w:fill="FFFFFF"/>
            <w:vertAlign w:val="baseline"/>
          </w:rPr>
          <w:t>Rule 403</w:t>
        </w:r>
      </w:hyperlink>
      <w:r>
        <w:rPr>
          <w:rFonts w:ascii="arial" w:eastAsia="arial" w:hAnsi="arial" w:cs="arial"/>
          <w:b w:val="0"/>
          <w:i w:val="0"/>
          <w:strike w:val="0"/>
          <w:noProof w:val="0"/>
          <w:color w:val="000000"/>
          <w:position w:val="0"/>
          <w:sz w:val="20"/>
          <w:u w:val="none"/>
          <w:vertAlign w:val="baseline"/>
        </w:rPr>
        <w:t xml:space="preserve"> argument before reaching constitutional challenge to admissibility of blood test refusal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Bethel, Justice McMillian, and Justice Pinson join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Provided specified procedural requirements are satisfied, as they were here, “[a]n appeal may be taken by and on behalf of the State of Georgia from the superior courts … [f]rom an order, decision, or judgment excluding any … evidence to be used by the state at trial[.]” </w:t>
      </w:r>
      <w:hyperlink r:id="rId1" w:history="1">
        <w:r>
          <w:rPr>
            <w:rFonts w:ascii="arial" w:eastAsia="arial" w:hAnsi="arial" w:cs="arial"/>
            <w:b w:val="0"/>
            <w:i/>
            <w:strike w:val="0"/>
            <w:noProof w:val="0"/>
            <w:color w:val="0077CC"/>
            <w:position w:val="0"/>
            <w:sz w:val="18"/>
            <w:u w:val="single"/>
            <w:shd w:val="clear" w:color="auto" w:fill="FFFFFF"/>
            <w:vertAlign w:val="baseline"/>
          </w:rPr>
          <w:t>OCGA § 5-7-1 (a) (5)</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bookmarkStart w:id="12" w:name="Bookmark_LNHNREFclscc1"/>
      <w:bookmarkEnd w:id="12"/>
      <w:r>
        <w:rPr>
          <w:rFonts w:ascii="arial" w:eastAsia="arial" w:hAnsi="arial" w:cs="arial"/>
          <w:b w:val="0"/>
          <w:i w:val="0"/>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shd w:val="clear" w:color="auto" w:fill="FFFFFF"/>
            <w:vertAlign w:val="baseline"/>
          </w:rPr>
          <w:t>Ga. Const. of 1983, Art. VI, Sec. VI, Par. II (1)</w:t>
        </w:r>
      </w:hyperlink>
      <w:r>
        <w:rPr>
          <w:rFonts w:ascii="arial" w:eastAsia="arial" w:hAnsi="arial" w:cs="arial"/>
          <w:b w:val="0"/>
          <w:i w:val="0"/>
          <w:strike w:val="0"/>
          <w:noProof w:val="0"/>
          <w:color w:val="000000"/>
          <w:position w:val="0"/>
          <w:sz w:val="18"/>
          <w:u w:val="none"/>
          <w:vertAlign w:val="baseline"/>
        </w:rPr>
        <w:t xml:space="preserve"> (This Court “shall exercise exclusive appellate jurisdiction in … all cases in which the constitutionality of a law, ordinance, or constitutional provision has been drawn in question.”); </w:t>
      </w:r>
      <w:bookmarkStart w:id="13" w:name="Bookmark_I6FH9YGM2HM6XV0010000400"/>
      <w:bookmarkEnd w:id="13"/>
      <w:hyperlink r:id="rId3" w:history="1">
        <w:r>
          <w:rPr>
            <w:rFonts w:ascii="arial" w:eastAsia="arial" w:hAnsi="arial" w:cs="arial"/>
            <w:b w:val="0"/>
            <w:i/>
            <w:strike w:val="0"/>
            <w:noProof w:val="0"/>
            <w:color w:val="0077CC"/>
            <w:position w:val="0"/>
            <w:sz w:val="18"/>
            <w:u w:val="single"/>
            <w:shd w:val="clear" w:color="auto" w:fill="FFFFFF"/>
            <w:vertAlign w:val="baseline"/>
          </w:rPr>
          <w:t>Nathans v. Diamond</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282 Ga. 804, 807-808 (2) (654 SE2d 121) (2007)</w:t>
        </w:r>
      </w:hyperlink>
      <w:r>
        <w:rPr>
          <w:rFonts w:ascii="arial" w:eastAsia="arial" w:hAnsi="arial" w:cs="arial"/>
          <w:b w:val="0"/>
          <w:i w:val="0"/>
          <w:strike w:val="0"/>
          <w:noProof w:val="0"/>
          <w:color w:val="000000"/>
          <w:position w:val="0"/>
          <w:sz w:val="18"/>
          <w:u w:val="none"/>
          <w:vertAlign w:val="baseline"/>
        </w:rPr>
        <w:t xml:space="preserve"> (“It is well established that this Court does not ever pass upon the constitutionality of an Act of the General Assembly unless it clearly appears in the record that the point was directly and properly made in the court below and distinctly passed on by the trial judge.” (citation and punctuation omitted)).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shd w:val="clear" w:color="auto" w:fill="FFFFFF"/>
            <w:vertAlign w:val="baseline"/>
          </w:rPr>
          <w:t>OCGA §§ 40-5-55 (a)</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shd w:val="clear" w:color="auto" w:fill="FFFFFF"/>
            <w:vertAlign w:val="baseline"/>
          </w:rPr>
          <w:t>40-5-67.1 (b) (2)</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hyperlink r:id="rId7" w:history="1">
        <w:r>
          <w:rPr>
            <w:rFonts w:ascii="arial" w:eastAsia="arial" w:hAnsi="arial" w:cs="arial"/>
            <w:b w:val="0"/>
            <w:i/>
            <w:strike w:val="0"/>
            <w:noProof w:val="0"/>
            <w:color w:val="0077CC"/>
            <w:position w:val="0"/>
            <w:sz w:val="18"/>
            <w:u w:val="single"/>
            <w:shd w:val="clear" w:color="auto" w:fill="FFFFFF"/>
            <w:vertAlign w:val="baseline"/>
          </w:rPr>
          <w:t>Ga. Const. of 1983, Art. I, Sec. I, Par. XVI</w:t>
        </w:r>
      </w:hyperlink>
      <w:r>
        <w:rPr>
          <w:rFonts w:ascii="arial" w:eastAsia="arial" w:hAnsi="arial" w:cs="arial"/>
          <w:b w:val="0"/>
          <w:i w:val="0"/>
          <w:strike w:val="0"/>
          <w:noProof w:val="0"/>
          <w:color w:val="000000"/>
          <w:position w:val="0"/>
          <w:sz w:val="18"/>
          <w:u w:val="none"/>
          <w:vertAlign w:val="baseline"/>
        </w:rPr>
        <w:t xml:space="preserve"> provides: “No person shall be compelled to give testimony tending in any manner to be self-incriminating.”</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3" w:name="Bookmark_fnpara_5"/>
      <w:bookmarkEnd w:id="43"/>
      <w:r>
        <w:rPr>
          <w:rFonts w:ascii="arial" w:eastAsia="arial" w:hAnsi="arial" w:cs="arial"/>
          <w:b w:val="0"/>
          <w:i w:val="0"/>
          <w:strike w:val="0"/>
          <w:noProof w:val="0"/>
          <w:color w:val="000000"/>
          <w:position w:val="0"/>
          <w:sz w:val="18"/>
          <w:u w:val="none"/>
          <w:vertAlign w:val="baseline"/>
        </w:rPr>
        <w:t xml:space="preserve">See also </w:t>
      </w:r>
      <w:bookmarkStart w:id="44" w:name="Bookmark_I6FH9YGN2N1PTN0020000400"/>
      <w:bookmarkEnd w:id="44"/>
      <w:hyperlink r:id="rId8" w:history="1">
        <w:r>
          <w:rPr>
            <w:rFonts w:ascii="arial" w:eastAsia="arial" w:hAnsi="arial" w:cs="arial"/>
            <w:b w:val="0"/>
            <w:i/>
            <w:strike w:val="0"/>
            <w:noProof w:val="0"/>
            <w:color w:val="0077CC"/>
            <w:position w:val="0"/>
            <w:sz w:val="18"/>
            <w:u w:val="single"/>
            <w:shd w:val="clear" w:color="auto" w:fill="FFFFFF"/>
            <w:vertAlign w:val="baseline"/>
          </w:rPr>
          <w:t>Awad v. State</w:t>
        </w:r>
      </w:hyperlink>
      <w:hyperlink r:id="rId9" w:history="1">
        <w:r>
          <w:rPr>
            <w:rFonts w:ascii="arial" w:eastAsia="arial" w:hAnsi="arial" w:cs="arial"/>
            <w:b w:val="0"/>
            <w:i/>
            <w:strike w:val="0"/>
            <w:noProof w:val="0"/>
            <w:color w:val="0077CC"/>
            <w:position w:val="0"/>
            <w:sz w:val="18"/>
            <w:u w:val="single"/>
            <w:shd w:val="clear" w:color="auto" w:fill="FFFFFF"/>
            <w:vertAlign w:val="baseline"/>
          </w:rPr>
          <w:t>, 313 Ga. 99, 102 (2), 103 (3) (868 SE2d 219) (2022)</w:t>
        </w:r>
      </w:hyperlink>
      <w:r>
        <w:rPr>
          <w:rFonts w:ascii="arial" w:eastAsia="arial" w:hAnsi="arial" w:cs="arial"/>
          <w:b w:val="0"/>
          <w:i w:val="0"/>
          <w:strike w:val="0"/>
          <w:noProof w:val="0"/>
          <w:color w:val="000000"/>
          <w:position w:val="0"/>
          <w:sz w:val="18"/>
          <w:u w:val="none"/>
          <w:vertAlign w:val="baseline"/>
        </w:rPr>
        <w:t xml:space="preserve"> (“Under </w:t>
      </w:r>
      <w:r>
        <w:rPr>
          <w:rFonts w:ascii="arial" w:eastAsia="arial" w:hAnsi="arial" w:cs="arial"/>
          <w:b w:val="0"/>
          <w:i/>
          <w:strike w:val="0"/>
          <w:noProof w:val="0"/>
          <w:color w:val="000000"/>
          <w:position w:val="0"/>
          <w:sz w:val="18"/>
          <w:u w:val="none"/>
          <w:vertAlign w:val="baseline"/>
        </w:rPr>
        <w:t>Elliott</w:t>
      </w:r>
      <w:r>
        <w:rPr>
          <w:rFonts w:ascii="arial" w:eastAsia="arial" w:hAnsi="arial" w:cs="arial"/>
          <w:b w:val="0"/>
          <w:i w:val="0"/>
          <w:strike w:val="0"/>
          <w:noProof w:val="0"/>
          <w:color w:val="000000"/>
          <w:position w:val="0"/>
          <w:sz w:val="18"/>
          <w:u w:val="none"/>
          <w:vertAlign w:val="baseline"/>
        </w:rPr>
        <w:t xml:space="preserve">, whether </w:t>
      </w:r>
      <w:hyperlink r:id="rId10" w:history="1">
        <w:r>
          <w:rPr>
            <w:rFonts w:ascii="arial" w:eastAsia="arial" w:hAnsi="arial" w:cs="arial"/>
            <w:b w:val="0"/>
            <w:i/>
            <w:strike w:val="0"/>
            <w:noProof w:val="0"/>
            <w:color w:val="0077CC"/>
            <w:position w:val="0"/>
            <w:sz w:val="18"/>
            <w:u w:val="single"/>
            <w:shd w:val="clear" w:color="auto" w:fill="FFFFFF"/>
            <w:vertAlign w:val="baseline"/>
          </w:rPr>
          <w:t>Paragraph XVI</w:t>
        </w:r>
      </w:hyperlink>
      <w:r>
        <w:rPr>
          <w:rFonts w:ascii="arial" w:eastAsia="arial" w:hAnsi="arial" w:cs="arial"/>
          <w:b w:val="0"/>
          <w:i w:val="0"/>
          <w:strike w:val="0"/>
          <w:noProof w:val="0"/>
          <w:color w:val="000000"/>
          <w:position w:val="0"/>
          <w:sz w:val="18"/>
          <w:u w:val="none"/>
          <w:vertAlign w:val="baseline"/>
        </w:rPr>
        <w:t xml:space="preserve"> requires a court to grant a motion to suppress a defendant's refusal to submit to a state-administered chemical test turns on whether the defendant would have been required to perform an act to generate the test sample.” A urine test requires a defendant to “urinate into a container, at the time and in the manner directed by the State, to ensure that the State can obtain a usable test sample for chemical analysis.” Because a urine test requires “the defendant to affirmatively give the State evidence from the defendant's body in a particular manner that is neither natural nor automatic[,] … </w:t>
      </w:r>
      <w:hyperlink r:id="rId11" w:history="1">
        <w:r>
          <w:rPr>
            <w:rFonts w:ascii="arial" w:eastAsia="arial" w:hAnsi="arial" w:cs="arial"/>
            <w:b w:val="0"/>
            <w:i/>
            <w:strike w:val="0"/>
            <w:noProof w:val="0"/>
            <w:color w:val="0077CC"/>
            <w:position w:val="0"/>
            <w:sz w:val="18"/>
            <w:u w:val="single"/>
            <w:shd w:val="clear" w:color="auto" w:fill="FFFFFF"/>
            <w:vertAlign w:val="baseline"/>
          </w:rPr>
          <w:t>Paragraph XVI</w:t>
        </w:r>
      </w:hyperlink>
      <w:r>
        <w:rPr>
          <w:rFonts w:ascii="arial" w:eastAsia="arial" w:hAnsi="arial" w:cs="arial"/>
          <w:b w:val="0"/>
          <w:i w:val="0"/>
          <w:strike w:val="0"/>
          <w:noProof w:val="0"/>
          <w:color w:val="000000"/>
          <w:position w:val="0"/>
          <w:sz w:val="18"/>
          <w:u w:val="none"/>
          <w:vertAlign w:val="baseline"/>
        </w:rPr>
        <w:t xml:space="preserve"> affords a [DUI] defendant a right to refuse to submit [to a state-administered urine test] and a right to suppress evidence of the defendant's refusal” under our holdings in </w:t>
      </w:r>
      <w:bookmarkStart w:id="45" w:name="Bookmark_I6FH9YGN2N1PTN0040000400"/>
      <w:bookmarkEnd w:id="45"/>
      <w:hyperlink r:id="rId12" w:history="1">
        <w:r>
          <w:rPr>
            <w:rFonts w:ascii="arial" w:eastAsia="arial" w:hAnsi="arial" w:cs="arial"/>
            <w:b w:val="0"/>
            <w:i/>
            <w:strike w:val="0"/>
            <w:noProof w:val="0"/>
            <w:color w:val="0077CC"/>
            <w:position w:val="0"/>
            <w:sz w:val="18"/>
            <w:u w:val="single"/>
            <w:shd w:val="clear" w:color="auto" w:fill="FFFFFF"/>
            <w:vertAlign w:val="baseline"/>
          </w:rPr>
          <w:t>Olevik</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Elliott</w:t>
      </w:r>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6" w:name="Bookmark_fnpara_6"/>
      <w:bookmarkEnd w:id="46"/>
      <w:bookmarkStart w:id="47" w:name="Bookmark_I6FH9YGP2N1PTP0020000400"/>
      <w:bookmarkEnd w:id="47"/>
      <w:bookmarkStart w:id="48" w:name="Bookmark_I6FH9YGP2HM6Y10030000400"/>
      <w:bookmarkEnd w:id="48"/>
      <w:r>
        <w:rPr>
          <w:rFonts w:ascii="arial" w:eastAsia="arial" w:hAnsi="arial" w:cs="arial"/>
          <w:b w:val="0"/>
          <w:i w:val="0"/>
          <w:strike w:val="0"/>
          <w:noProof w:val="0"/>
          <w:color w:val="000000"/>
          <w:position w:val="0"/>
          <w:sz w:val="18"/>
          <w:u w:val="none"/>
          <w:vertAlign w:val="baseline"/>
        </w:rPr>
        <w:t xml:space="preserve">See </w:t>
      </w:r>
      <w:bookmarkStart w:id="49" w:name="Bookmark_I6FH9YGP2N1PTP0010000400"/>
      <w:bookmarkEnd w:id="49"/>
      <w:hyperlink r:id="rId13" w:history="1">
        <w:r>
          <w:rPr>
            <w:rFonts w:ascii="arial" w:eastAsia="arial" w:hAnsi="arial" w:cs="arial"/>
            <w:b w:val="0"/>
            <w:i/>
            <w:strike w:val="0"/>
            <w:noProof w:val="0"/>
            <w:color w:val="0077CC"/>
            <w:position w:val="0"/>
            <w:sz w:val="18"/>
            <w:u w:val="single"/>
            <w:shd w:val="clear" w:color="auto" w:fill="FFFFFF"/>
            <w:vertAlign w:val="baseline"/>
          </w:rPr>
          <w:t>La Anyane v. State</w:t>
        </w:r>
      </w:hyperlink>
      <w:hyperlink r:id="rId14" w:history="1">
        <w:r>
          <w:rPr>
            <w:rFonts w:ascii="arial" w:eastAsia="arial" w:hAnsi="arial" w:cs="arial"/>
            <w:b w:val="0"/>
            <w:i/>
            <w:strike w:val="0"/>
            <w:noProof w:val="0"/>
            <w:color w:val="0077CC"/>
            <w:position w:val="0"/>
            <w:sz w:val="18"/>
            <w:u w:val="single"/>
            <w:shd w:val="clear" w:color="auto" w:fill="FFFFFF"/>
            <w:vertAlign w:val="baseline"/>
          </w:rPr>
          <w:t>, 321 Ga. 312, 318 (2) (a) (ii) (913 SE2d 635) (2025)</w:t>
        </w:r>
      </w:hyperlink>
      <w:r>
        <w:rPr>
          <w:rFonts w:ascii="arial" w:eastAsia="arial" w:hAnsi="arial" w:cs="arial"/>
          <w:b w:val="0"/>
          <w:i w:val="0"/>
          <w:strike w:val="0"/>
          <w:noProof w:val="0"/>
          <w:color w:val="000000"/>
          <w:position w:val="0"/>
          <w:sz w:val="18"/>
          <w:u w:val="none"/>
          <w:vertAlign w:val="baseline"/>
        </w:rPr>
        <w:t xml:space="preserve"> (“It is true that we held in </w:t>
      </w:r>
      <w:bookmarkStart w:id="50" w:name="Bookmark_I6FH9YGP2N1PTP0030000400"/>
      <w:bookmarkEnd w:id="50"/>
      <w:hyperlink r:id="rId15" w:history="1">
        <w:r>
          <w:rPr>
            <w:rFonts w:ascii="arial" w:eastAsia="arial" w:hAnsi="arial" w:cs="arial"/>
            <w:b w:val="0"/>
            <w:i/>
            <w:strike w:val="0"/>
            <w:noProof w:val="0"/>
            <w:color w:val="0077CC"/>
            <w:position w:val="0"/>
            <w:sz w:val="18"/>
            <w:u w:val="single"/>
            <w:shd w:val="clear" w:color="auto" w:fill="FFFFFF"/>
            <w:vertAlign w:val="baseline"/>
          </w:rPr>
          <w:t>Elliott v. State</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305 Ga. 179 (824 SE2d 265) (2019)</w:t>
        </w:r>
      </w:hyperlink>
      <w:r>
        <w:rPr>
          <w:rFonts w:ascii="arial" w:eastAsia="arial" w:hAnsi="arial" w:cs="arial"/>
          <w:b w:val="0"/>
          <w:i w:val="0"/>
          <w:strike w:val="0"/>
          <w:noProof w:val="0"/>
          <w:color w:val="000000"/>
          <w:position w:val="0"/>
          <w:sz w:val="18"/>
          <w:u w:val="none"/>
          <w:vertAlign w:val="baseline"/>
        </w:rPr>
        <w:t xml:space="preserve">, that </w:t>
      </w:r>
      <w:hyperlink r:id="rId17" w:history="1">
        <w:r>
          <w:rPr>
            <w:rFonts w:ascii="arial" w:eastAsia="arial" w:hAnsi="arial" w:cs="arial"/>
            <w:b w:val="0"/>
            <w:i/>
            <w:strike w:val="0"/>
            <w:noProof w:val="0"/>
            <w:color w:val="0077CC"/>
            <w:position w:val="0"/>
            <w:sz w:val="18"/>
            <w:u w:val="single"/>
            <w:shd w:val="clear" w:color="auto" w:fill="FFFFFF"/>
            <w:vertAlign w:val="baseline"/>
          </w:rPr>
          <w:t>OCGA § 40-6-392 (d)</w:t>
        </w:r>
      </w:hyperlink>
      <w:r>
        <w:rPr>
          <w:rFonts w:ascii="arial" w:eastAsia="arial" w:hAnsi="arial" w:cs="arial"/>
          <w:b w:val="0"/>
          <w:i w:val="0"/>
          <w:strike w:val="0"/>
          <w:noProof w:val="0"/>
          <w:color w:val="000000"/>
          <w:position w:val="0"/>
          <w:sz w:val="18"/>
          <w:u w:val="none"/>
          <w:vertAlign w:val="baseline"/>
        </w:rPr>
        <w:t xml:space="preserve"> is unconstitutional as applied to </w:t>
      </w:r>
      <w:r>
        <w:rPr>
          <w:rFonts w:ascii="arial" w:eastAsia="arial" w:hAnsi="arial" w:cs="arial"/>
          <w:b w:val="0"/>
          <w:i/>
          <w:strike w:val="0"/>
          <w:noProof w:val="0"/>
          <w:color w:val="000000"/>
          <w:position w:val="0"/>
          <w:sz w:val="18"/>
          <w:u w:val="none"/>
          <w:vertAlign w:val="baseline"/>
        </w:rPr>
        <w:t>breath</w:t>
      </w:r>
      <w:r>
        <w:rPr>
          <w:rFonts w:ascii="arial" w:eastAsia="arial" w:hAnsi="arial" w:cs="arial"/>
          <w:b w:val="0"/>
          <w:i w:val="0"/>
          <w:strike w:val="0"/>
          <w:noProof w:val="0"/>
          <w:color w:val="000000"/>
          <w:position w:val="0"/>
          <w:sz w:val="18"/>
          <w:u w:val="none"/>
          <w:vertAlign w:val="baseline"/>
        </w:rPr>
        <w:t xml:space="preserve"> tests, because under the Georgia Constitution, providing deep lung air for a breath test is a self-incriminatory act, and a person's exercise of her right not to incriminate herself cannot be used against her. See </w:t>
      </w:r>
      <w:hyperlink r:id="rId18" w:history="1">
        <w:r>
          <w:rPr>
            <w:rFonts w:ascii="arial" w:eastAsia="arial" w:hAnsi="arial" w:cs="arial"/>
            <w:b w:val="0"/>
            <w:i/>
            <w:strike w:val="0"/>
            <w:noProof w:val="0"/>
            <w:color w:val="0077CC"/>
            <w:position w:val="0"/>
            <w:sz w:val="18"/>
            <w:u w:val="single"/>
            <w:shd w:val="clear" w:color="auto" w:fill="FFFFFF"/>
            <w:vertAlign w:val="baseline"/>
          </w:rPr>
          <w:t>Ga. Const. of 1983, Art. I, Sec. I, Par. XVI</w:t>
        </w:r>
      </w:hyperlink>
      <w:r>
        <w:rPr>
          <w:rFonts w:ascii="arial" w:eastAsia="arial" w:hAnsi="arial" w:cs="arial"/>
          <w:b w:val="0"/>
          <w:i w:val="0"/>
          <w:strike w:val="0"/>
          <w:noProof w:val="0"/>
          <w:color w:val="000000"/>
          <w:position w:val="0"/>
          <w:sz w:val="18"/>
          <w:u w:val="none"/>
          <w:vertAlign w:val="baseline"/>
        </w:rPr>
        <w:t xml:space="preserve">; </w:t>
      </w:r>
      <w:bookmarkStart w:id="51" w:name="Bookmark_I6FH9YGP2N1PTP0050000400"/>
      <w:bookmarkEnd w:id="51"/>
      <w:hyperlink r:id="rId19" w:history="1">
        <w:r>
          <w:rPr>
            <w:rFonts w:ascii="arial" w:eastAsia="arial" w:hAnsi="arial" w:cs="arial"/>
            <w:b w:val="0"/>
            <w:i/>
            <w:strike w:val="0"/>
            <w:noProof w:val="0"/>
            <w:color w:val="0077CC"/>
            <w:position w:val="0"/>
            <w:sz w:val="18"/>
            <w:u w:val="single"/>
            <w:shd w:val="clear" w:color="auto" w:fill="FFFFFF"/>
            <w:vertAlign w:val="baseline"/>
          </w:rPr>
          <w:t>Elliott</w:t>
        </w:r>
      </w:hyperlink>
      <w:hyperlink r:id="rId20" w:history="1">
        <w:r>
          <w:rPr>
            <w:rFonts w:ascii="arial" w:eastAsia="arial" w:hAnsi="arial" w:cs="arial"/>
            <w:b w:val="0"/>
            <w:i/>
            <w:strike w:val="0"/>
            <w:noProof w:val="0"/>
            <w:color w:val="0077CC"/>
            <w:position w:val="0"/>
            <w:sz w:val="18"/>
            <w:u w:val="single"/>
            <w:shd w:val="clear" w:color="auto" w:fill="FFFFFF"/>
            <w:vertAlign w:val="baseline"/>
          </w:rPr>
          <w:t>, 305 Ga. at 209 (IV)</w:t>
        </w:r>
      </w:hyperlink>
      <w:r>
        <w:rPr>
          <w:rFonts w:ascii="arial" w:eastAsia="arial" w:hAnsi="arial" w:cs="arial"/>
          <w:b w:val="0"/>
          <w:i w:val="0"/>
          <w:strike w:val="0"/>
          <w:noProof w:val="0"/>
          <w:color w:val="000000"/>
          <w:position w:val="0"/>
          <w:sz w:val="18"/>
          <w:u w:val="none"/>
          <w:vertAlign w:val="baseline"/>
        </w:rPr>
        <w:t xml:space="preserve">. </w:t>
      </w:r>
      <w:bookmarkStart w:id="52" w:name="Bookmark_I6FH9YGP2D6N7N0010000400"/>
      <w:bookmarkEnd w:id="52"/>
      <w:r>
        <w:rPr>
          <w:rFonts w:ascii="arial" w:eastAsia="arial" w:hAnsi="arial" w:cs="arial"/>
          <w:b w:val="0"/>
          <w:i w:val="0"/>
          <w:strike w:val="0"/>
          <w:noProof w:val="0"/>
          <w:color w:val="000000"/>
          <w:position w:val="0"/>
          <w:sz w:val="18"/>
          <w:u w:val="none"/>
          <w:vertAlign w:val="baseline"/>
        </w:rPr>
        <w:t xml:space="preserve">But we have never held that drawing someone's blood implicates the right against compelled self-incrimination under the Georgia Constitution, and the United States Supreme Court has rejected the argument that the federal right against compelled self-incrimination is implicated by a blood draw.”); </w:t>
      </w:r>
      <w:bookmarkStart w:id="53" w:name="Bookmark_I6FH9YGP2HM6Y10020000400"/>
      <w:bookmarkEnd w:id="53"/>
      <w:hyperlink r:id="rId21" w:history="1">
        <w:r>
          <w:rPr>
            <w:rFonts w:ascii="arial" w:eastAsia="arial" w:hAnsi="arial" w:cs="arial"/>
            <w:b w:val="0"/>
            <w:i/>
            <w:strike w:val="0"/>
            <w:noProof w:val="0"/>
            <w:color w:val="0077CC"/>
            <w:position w:val="0"/>
            <w:sz w:val="18"/>
            <w:u w:val="single"/>
            <w:shd w:val="clear" w:color="auto" w:fill="FFFFFF"/>
            <w:vertAlign w:val="baseline"/>
          </w:rPr>
          <w:t>Elliott</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305 Ga. at 224</w:t>
        </w:r>
      </w:hyperlink>
      <w:r>
        <w:rPr>
          <w:rFonts w:ascii="arial" w:eastAsia="arial" w:hAnsi="arial" w:cs="arial"/>
          <w:b w:val="0"/>
          <w:i w:val="0"/>
          <w:strike w:val="0"/>
          <w:noProof w:val="0"/>
          <w:color w:val="000000"/>
          <w:position w:val="0"/>
          <w:sz w:val="18"/>
          <w:u w:val="none"/>
          <w:vertAlign w:val="baseline"/>
        </w:rPr>
        <w:t xml:space="preserve"> (Boggs, J., concurring) (“[T]he scope of [</w:t>
      </w:r>
      <w:r>
        <w:rPr>
          <w:rFonts w:ascii="arial" w:eastAsia="arial" w:hAnsi="arial" w:cs="arial"/>
          <w:b w:val="0"/>
          <w:i/>
          <w:strike w:val="0"/>
          <w:noProof w:val="0"/>
          <w:color w:val="000000"/>
          <w:position w:val="0"/>
          <w:sz w:val="18"/>
          <w:u w:val="none"/>
          <w:vertAlign w:val="baseline"/>
        </w:rPr>
        <w:t>Elliott</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Olevik</w:t>
      </w:r>
      <w:r>
        <w:rPr>
          <w:rFonts w:ascii="arial" w:eastAsia="arial" w:hAnsi="arial" w:cs="arial"/>
          <w:b w:val="0"/>
          <w:i w:val="0"/>
          <w:strike w:val="0"/>
          <w:noProof w:val="0"/>
          <w:color w:val="000000"/>
          <w:position w:val="0"/>
          <w:sz w:val="18"/>
          <w:u w:val="none"/>
          <w:vertAlign w:val="baseline"/>
        </w:rPr>
        <w:t xml:space="preserve">] is limited to chemical tests of a driver's breath; they do not apply to tests of a driver's blood.”); </w:t>
      </w:r>
      <w:bookmarkStart w:id="54" w:name="Bookmark_I6FH9YGP2HM6Y10040000400"/>
      <w:bookmarkEnd w:id="54"/>
      <w:hyperlink r:id="rId23" w:history="1">
        <w:r>
          <w:rPr>
            <w:rFonts w:ascii="arial" w:eastAsia="arial" w:hAnsi="arial" w:cs="arial"/>
            <w:b w:val="0"/>
            <w:i/>
            <w:strike w:val="0"/>
            <w:noProof w:val="0"/>
            <w:color w:val="0077CC"/>
            <w:position w:val="0"/>
            <w:sz w:val="18"/>
            <w:u w:val="single"/>
            <w:shd w:val="clear" w:color="auto" w:fill="FFFFFF"/>
            <w:vertAlign w:val="baseline"/>
          </w:rPr>
          <w:t>Olevik</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302 Ga. at 232, 233 (2) (a) n.2</w:t>
        </w:r>
      </w:hyperlink>
      <w:r>
        <w:rPr>
          <w:rFonts w:ascii="arial" w:eastAsia="arial" w:hAnsi="arial" w:cs="arial"/>
          <w:b w:val="0"/>
          <w:i w:val="0"/>
          <w:strike w:val="0"/>
          <w:noProof w:val="0"/>
          <w:color w:val="000000"/>
          <w:position w:val="0"/>
          <w:sz w:val="18"/>
          <w:u w:val="none"/>
          <w:vertAlign w:val="baseline"/>
        </w:rPr>
        <w:t xml:space="preserve"> (“Nothing we say here should be understood as casting any doubt on </w:t>
      </w:r>
      <w:bookmarkStart w:id="55" w:name="Bookmark_I6FH9YGP28T4FS0010000400"/>
      <w:bookmarkEnd w:id="55"/>
      <w:hyperlink r:id="rId25"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xml:space="preserve">[ </w:t>
        </w:r>
      </w:hyperlink>
      <w:hyperlink r:id="rId27" w:history="1">
        <w:r>
          <w:rPr>
            <w:rFonts w:ascii="arial" w:eastAsia="arial" w:hAnsi="arial" w:cs="arial"/>
            <w:b w:val="0"/>
            <w:i/>
            <w:strike w:val="0"/>
            <w:noProof w:val="0"/>
            <w:color w:val="0077CC"/>
            <w:position w:val="0"/>
            <w:sz w:val="18"/>
            <w:u w:val="single"/>
            <w:shd w:val="clear" w:color="auto" w:fill="FFFFFF"/>
            <w:vertAlign w:val="baseline"/>
          </w:rPr>
          <w:t>v. State</w:t>
        </w:r>
      </w:hyperlink>
      <w:hyperlink r:id="rId28" w:history="1">
        <w:r>
          <w:rPr>
            <w:rFonts w:ascii="arial" w:eastAsia="arial" w:hAnsi="arial" w:cs="arial"/>
            <w:b w:val="0"/>
            <w:i/>
            <w:strike w:val="0"/>
            <w:noProof w:val="0"/>
            <w:color w:val="0077CC"/>
            <w:position w:val="0"/>
            <w:sz w:val="18"/>
            <w:u w:val="single"/>
            <w:shd w:val="clear" w:color="auto" w:fill="FFFFFF"/>
            <w:vertAlign w:val="baseline"/>
          </w:rPr>
          <w:t>, 231 Ga. 514 (202 SE2d 428) (1973)</w:t>
        </w:r>
      </w:hyperlink>
      <w:r>
        <w:rPr>
          <w:rFonts w:ascii="arial" w:eastAsia="arial" w:hAnsi="arial" w:cs="arial"/>
          <w:b w:val="0"/>
          <w:i w:val="0"/>
          <w:strike w:val="0"/>
          <w:noProof w:val="0"/>
          <w:color w:val="000000"/>
          <w:position w:val="0"/>
          <w:sz w:val="18"/>
          <w:u w:val="none"/>
          <w:vertAlign w:val="baseline"/>
        </w:rPr>
        <w:t xml:space="preserve">,]'s self-incrimination holding.”); </w:t>
      </w:r>
      <w:bookmarkStart w:id="56" w:name="Bookmark_I6FH9YGP28T4FS0030000400"/>
      <w:bookmarkEnd w:id="56"/>
      <w:hyperlink r:id="rId29" w:history="1">
        <w:r>
          <w:rPr>
            <w:rFonts w:ascii="arial" w:eastAsia="arial" w:hAnsi="arial" w:cs="arial"/>
            <w:b w:val="0"/>
            <w:i/>
            <w:strike w:val="0"/>
            <w:noProof w:val="0"/>
            <w:color w:val="0077CC"/>
            <w:position w:val="0"/>
            <w:sz w:val="18"/>
            <w:u w:val="single"/>
            <w:shd w:val="clear" w:color="auto" w:fill="FFFFFF"/>
            <w:vertAlign w:val="baseline"/>
          </w:rPr>
          <w:t>Strong</w:t>
        </w:r>
      </w:hyperlink>
      <w:hyperlink r:id="rId30" w:history="1">
        <w:r>
          <w:rPr>
            <w:rFonts w:ascii="arial" w:eastAsia="arial" w:hAnsi="arial" w:cs="arial"/>
            <w:b w:val="0"/>
            <w:i/>
            <w:strike w:val="0"/>
            <w:noProof w:val="0"/>
            <w:color w:val="0077CC"/>
            <w:position w:val="0"/>
            <w:sz w:val="18"/>
            <w:u w:val="single"/>
            <w:shd w:val="clear" w:color="auto" w:fill="FFFFFF"/>
            <w:vertAlign w:val="baseline"/>
          </w:rPr>
          <w:t>, 231 Ga. at 519</w:t>
        </w:r>
      </w:hyperlink>
      <w:r>
        <w:rPr>
          <w:rFonts w:ascii="arial" w:eastAsia="arial" w:hAnsi="arial" w:cs="arial"/>
          <w:b w:val="0"/>
          <w:i w:val="0"/>
          <w:strike w:val="0"/>
          <w:noProof w:val="0"/>
          <w:color w:val="000000"/>
          <w:position w:val="0"/>
          <w:sz w:val="18"/>
          <w:u w:val="none"/>
          <w:vertAlign w:val="baseline"/>
        </w:rPr>
        <w:t xml:space="preserve"> (“[T]he use of the results of [a] blood test against [the defendant] at the trial [did not] require[ ] him to give evidence against himself. [The defendant] was not compelled or forced to remove the incriminating blood. </w:t>
      </w:r>
      <w:bookmarkStart w:id="57" w:name="Bookmark_I6FH9YGP2D6N7N0010000400_2"/>
      <w:bookmarkEnd w:id="57"/>
      <w:r>
        <w:rPr>
          <w:rFonts w:ascii="arial" w:eastAsia="arial" w:hAnsi="arial" w:cs="arial"/>
          <w:b w:val="0"/>
          <w:i w:val="0"/>
          <w:strike w:val="0"/>
          <w:noProof w:val="0"/>
          <w:color w:val="000000"/>
          <w:position w:val="0"/>
          <w:sz w:val="18"/>
          <w:u w:val="none"/>
          <w:vertAlign w:val="baseline"/>
        </w:rPr>
        <w:t xml:space="preserve">The removal of a substance from the body through a minor intrusion does not cause the person to be a witness against himself within the meaning of </w:t>
      </w:r>
      <w:hyperlink r:id="rId31" w:history="1">
        <w:r>
          <w:rPr>
            <w:rFonts w:ascii="arial" w:eastAsia="arial" w:hAnsi="arial" w:cs="arial"/>
            <w:b w:val="0"/>
            <w:i/>
            <w:strike w:val="0"/>
            <w:noProof w:val="0"/>
            <w:color w:val="0077CC"/>
            <w:position w:val="0"/>
            <w:sz w:val="18"/>
            <w:u w:val="single"/>
            <w:shd w:val="clear" w:color="auto" w:fill="FFFFFF"/>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protection and similar provisions of Georgia law.”), overruled on other grounds by </w:t>
      </w:r>
      <w:bookmarkStart w:id="58" w:name="Bookmark_I6FH9YGP28T4FS0050000400"/>
      <w:bookmarkEnd w:id="58"/>
      <w:hyperlink r:id="rId32" w:history="1">
        <w:r>
          <w:rPr>
            <w:rFonts w:ascii="arial" w:eastAsia="arial" w:hAnsi="arial" w:cs="arial"/>
            <w:b w:val="0"/>
            <w:i/>
            <w:strike w:val="0"/>
            <w:noProof w:val="0"/>
            <w:color w:val="0077CC"/>
            <w:position w:val="0"/>
            <w:sz w:val="18"/>
            <w:u w:val="single"/>
            <w:shd w:val="clear" w:color="auto" w:fill="FFFFFF"/>
            <w:vertAlign w:val="baseline"/>
          </w:rPr>
          <w:t>Williams</w:t>
        </w:r>
      </w:hyperlink>
      <w:hyperlink r:id="rId33" w:history="1">
        <w:r>
          <w:rPr>
            <w:rFonts w:ascii="arial" w:eastAsia="arial" w:hAnsi="arial" w:cs="arial"/>
            <w:b w:val="0"/>
            <w:i/>
            <w:strike w:val="0"/>
            <w:noProof w:val="0"/>
            <w:color w:val="0077CC"/>
            <w:position w:val="0"/>
            <w:sz w:val="18"/>
            <w:u w:val="single"/>
            <w:shd w:val="clear" w:color="auto" w:fill="FFFFFF"/>
            <w:vertAlign w:val="baseline"/>
          </w:rPr>
          <w:t>, 296 Ga. at 821</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4" w:name="Bookmark_fnpara_7"/>
      <w:bookmarkEnd w:id="64"/>
      <w:r>
        <w:rPr>
          <w:rFonts w:ascii="arial" w:eastAsia="arial" w:hAnsi="arial" w:cs="arial"/>
          <w:b w:val="0"/>
          <w:i w:val="0"/>
          <w:strike w:val="0"/>
          <w:noProof w:val="0"/>
          <w:color w:val="000000"/>
          <w:position w:val="0"/>
          <w:sz w:val="18"/>
          <w:u w:val="none"/>
          <w:vertAlign w:val="baseline"/>
        </w:rPr>
        <w:t xml:space="preserve">See </w:t>
      </w:r>
      <w:bookmarkStart w:id="65" w:name="Bookmark_I6FH9YGP2D6N7N0020000400"/>
      <w:bookmarkEnd w:id="65"/>
      <w:hyperlink r:id="rId34" w:history="1">
        <w:r>
          <w:rPr>
            <w:rFonts w:ascii="arial" w:eastAsia="arial" w:hAnsi="arial" w:cs="arial"/>
            <w:b w:val="0"/>
            <w:i/>
            <w:strike w:val="0"/>
            <w:noProof w:val="0"/>
            <w:color w:val="0077CC"/>
            <w:position w:val="0"/>
            <w:sz w:val="18"/>
            <w:u w:val="single"/>
            <w:shd w:val="clear" w:color="auto" w:fill="FFFFFF"/>
            <w:vertAlign w:val="baseline"/>
          </w:rPr>
          <w:t>State v. Randall</w:t>
        </w:r>
      </w:hyperlink>
      <w:hyperlink r:id="rId35" w:history="1">
        <w:r>
          <w:rPr>
            <w:rFonts w:ascii="arial" w:eastAsia="arial" w:hAnsi="arial" w:cs="arial"/>
            <w:b w:val="0"/>
            <w:i/>
            <w:strike w:val="0"/>
            <w:noProof w:val="0"/>
            <w:color w:val="0077CC"/>
            <w:position w:val="0"/>
            <w:sz w:val="18"/>
            <w:u w:val="single"/>
            <w:shd w:val="clear" w:color="auto" w:fill="FFFFFF"/>
            <w:vertAlign w:val="baseline"/>
          </w:rPr>
          <w:t>, 318 Ga. 79, 81-83 (2) (897 SE2d 444) (2024)</w:t>
        </w:r>
      </w:hyperlink>
      <w:r>
        <w:rPr>
          <w:rFonts w:ascii="arial" w:eastAsia="arial" w:hAnsi="arial" w:cs="arial"/>
          <w:b w:val="0"/>
          <w:i w:val="0"/>
          <w:strike w:val="0"/>
          <w:noProof w:val="0"/>
          <w:color w:val="000000"/>
          <w:position w:val="0"/>
          <w:sz w:val="18"/>
          <w:u w:val="none"/>
          <w:vertAlign w:val="baseline"/>
        </w:rPr>
        <w:t xml:space="preserve">; </w:t>
      </w:r>
      <w:bookmarkStart w:id="66" w:name="Bookmark_I6FH9YGP2D6N7N0040000400"/>
      <w:bookmarkEnd w:id="66"/>
      <w:hyperlink r:id="rId36" w:history="1">
        <w:r>
          <w:rPr>
            <w:rFonts w:ascii="arial" w:eastAsia="arial" w:hAnsi="arial" w:cs="arial"/>
            <w:b w:val="0"/>
            <w:i/>
            <w:strike w:val="0"/>
            <w:noProof w:val="0"/>
            <w:color w:val="0077CC"/>
            <w:position w:val="0"/>
            <w:sz w:val="18"/>
            <w:u w:val="single"/>
            <w:shd w:val="clear" w:color="auto" w:fill="FFFFFF"/>
            <w:vertAlign w:val="baseline"/>
          </w:rPr>
          <w:t>State v. Randall</w:t>
        </w:r>
      </w:hyperlink>
      <w:hyperlink r:id="rId37" w:history="1">
        <w:r>
          <w:rPr>
            <w:rFonts w:ascii="arial" w:eastAsia="arial" w:hAnsi="arial" w:cs="arial"/>
            <w:b w:val="0"/>
            <w:i/>
            <w:strike w:val="0"/>
            <w:noProof w:val="0"/>
            <w:color w:val="0077CC"/>
            <w:position w:val="0"/>
            <w:sz w:val="18"/>
            <w:u w:val="single"/>
            <w:shd w:val="clear" w:color="auto" w:fill="FFFFFF"/>
            <w:vertAlign w:val="baseline"/>
          </w:rPr>
          <w:t>, 315 Ga. 198, 200 (1) (880 SE2d 134) (2020)</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4" w:name="Bookmark_fnpara_8"/>
      <w:bookmarkEnd w:id="84"/>
      <w:r>
        <w:rPr>
          <w:rFonts w:ascii="arial" w:eastAsia="arial" w:hAnsi="arial" w:cs="arial"/>
          <w:b w:val="0"/>
          <w:i w:val="0"/>
          <w:strike w:val="0"/>
          <w:noProof w:val="0"/>
          <w:color w:val="000000"/>
          <w:position w:val="0"/>
          <w:sz w:val="18"/>
          <w:u w:val="none"/>
          <w:vertAlign w:val="baseline"/>
        </w:rPr>
        <w:t xml:space="preserve">Dias does not appear to have specifically raised </w:t>
      </w:r>
      <w:hyperlink r:id="rId38"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xml:space="preserve"> in her motion to suppress or the motions in limine that she has filed so far. But there doesn't seem to be anything preventing her from raising it on remand. </w:t>
      </w:r>
      <w:bookmarkStart w:id="85" w:name="Bookmark_II08FP49PHGJ003RRM9W002XS"/>
      <w:bookmarkEnd w:id="85"/>
      <w:bookmarkStart w:id="86" w:name="Bookmark_I6FH9YGS2N1PTX0040000400"/>
      <w:bookmarkEnd w:id="86"/>
      <w:r>
        <w:rPr>
          <w:rFonts w:ascii="arial" w:eastAsia="arial" w:hAnsi="arial" w:cs="arial"/>
          <w:b w:val="0"/>
          <w:i w:val="0"/>
          <w:strike w:val="0"/>
          <w:noProof w:val="0"/>
          <w:color w:val="000000"/>
          <w:position w:val="0"/>
          <w:sz w:val="18"/>
          <w:u w:val="none"/>
          <w:vertAlign w:val="baseline"/>
        </w:rPr>
        <w:t xml:space="preserve">And her constitutional claim is an as-applied claim, not a facial claim. Determining whether a statute challenged as unconstitutional as-applied actually applies to the challenger is often a condition precedent to reaching the constitutional question. See, e.g., </w:t>
      </w:r>
      <w:bookmarkStart w:id="87" w:name="Bookmark_I6FH9YGS2N1PTX0030000400"/>
      <w:bookmarkEnd w:id="87"/>
      <w:hyperlink r:id="rId39" w:history="1">
        <w:r>
          <w:rPr>
            <w:rFonts w:ascii="arial" w:eastAsia="arial" w:hAnsi="arial" w:cs="arial"/>
            <w:b w:val="0"/>
            <w:i/>
            <w:strike w:val="0"/>
            <w:noProof w:val="0"/>
            <w:color w:val="0077CC"/>
            <w:position w:val="0"/>
            <w:sz w:val="18"/>
            <w:u w:val="single"/>
            <w:shd w:val="clear" w:color="auto" w:fill="FFFFFF"/>
            <w:vertAlign w:val="baseline"/>
          </w:rPr>
          <w:t>Dias v. Boone</w:t>
        </w:r>
      </w:hyperlink>
      <w:hyperlink r:id="rId40" w:history="1">
        <w:r>
          <w:rPr>
            <w:rFonts w:ascii="arial" w:eastAsia="arial" w:hAnsi="arial" w:cs="arial"/>
            <w:b w:val="0"/>
            <w:i/>
            <w:strike w:val="0"/>
            <w:noProof w:val="0"/>
            <w:color w:val="0077CC"/>
            <w:position w:val="0"/>
            <w:sz w:val="18"/>
            <w:u w:val="single"/>
            <w:shd w:val="clear" w:color="auto" w:fill="FFFFFF"/>
            <w:vertAlign w:val="baseline"/>
          </w:rPr>
          <w:t>, 320 Ga. 785, 801-806 (3) (c) (912 SE2d 547) (2025)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If the refusal evidence is excluded under </w:t>
      </w:r>
      <w:hyperlink r:id="rId41" w:history="1">
        <w:r>
          <w:rPr>
            <w:rFonts w:ascii="arial" w:eastAsia="arial" w:hAnsi="arial" w:cs="arial"/>
            <w:b w:val="0"/>
            <w:i/>
            <w:strike w:val="0"/>
            <w:noProof w:val="0"/>
            <w:color w:val="0077CC"/>
            <w:position w:val="0"/>
            <w:sz w:val="18"/>
            <w:u w:val="single"/>
            <w:shd w:val="clear" w:color="auto" w:fill="FFFFFF"/>
            <w:vertAlign w:val="baseline"/>
          </w:rPr>
          <w:t>Rule 403</w:t>
        </w:r>
      </w:hyperlink>
      <w:r>
        <w:rPr>
          <w:rFonts w:ascii="arial" w:eastAsia="arial" w:hAnsi="arial" w:cs="arial"/>
          <w:b w:val="0"/>
          <w:i w:val="0"/>
          <w:strike w:val="0"/>
          <w:noProof w:val="0"/>
          <w:color w:val="000000"/>
          <w:position w:val="0"/>
          <w:sz w:val="18"/>
          <w:u w:val="none"/>
          <w:vertAlign w:val="baseline"/>
        </w:rPr>
        <w:t>, then the challenged statute is not being applied to Dias and the trial court has no reason to reach her constitutional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Dias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Y71-DYB7-W2XX-00000-00&amp;context=1530671" TargetMode="External" /><Relationship Id="rId11" Type="http://schemas.openxmlformats.org/officeDocument/2006/relationships/hyperlink" Target="https://plus.lexis.com/api/document?collection=statutes-legislation&amp;id=urn:contentItem:6348-FY71-DYB7-W2Y2-00000-00&amp;context=1530671" TargetMode="External" /><Relationship Id="rId12" Type="http://schemas.openxmlformats.org/officeDocument/2006/relationships/hyperlink" Target="https://plus.lexis.com/api/document?collection=statutes-legislation&amp;id=urn:contentItem:6348-FY71-DYB7-W2Y2-00000-00&amp;context=1530671" TargetMode="External" /><Relationship Id="rId13" Type="http://schemas.openxmlformats.org/officeDocument/2006/relationships/hyperlink" Target="https://plus.lexis.com/api/document?collection=statutes-legislation&amp;id=urn:contentItem:8T9R-T3H2-D6RV-H37G-00000-00&amp;context=1530671" TargetMode="External" /><Relationship Id="rId14" Type="http://schemas.openxmlformats.org/officeDocument/2006/relationships/hyperlink" Target="https://plus.lexis.com/api/document?collection=statutes-legislation&amp;id=urn:contentItem:8T9R-T3X2-8T6X-731X-00000-00&amp;context=1530671" TargetMode="External" /><Relationship Id="rId15" Type="http://schemas.openxmlformats.org/officeDocument/2006/relationships/hyperlink" Target="https://plus.lexis.com/api/document?collection=statutes-legislation&amp;id=urn:contentItem:8T9R-T3H2-D6RV-H37G-00000-00&amp;context=1530671" TargetMode="External" /><Relationship Id="rId16" Type="http://schemas.openxmlformats.org/officeDocument/2006/relationships/hyperlink" Target="https://plus.lexis.com/api/document?collection=statutes-legislation&amp;id=urn:contentItem:6348-HF31-DYB7-W0BC-00000-00&amp;context=1530671" TargetMode="External" /><Relationship Id="rId17" Type="http://schemas.openxmlformats.org/officeDocument/2006/relationships/hyperlink" Target="https://plus.lexis.com/api/document?collection=cases&amp;id=urn:contentItem:5PR6-PP81-DY1P-S09S-00000-00&amp;context=1530671" TargetMode="External" /><Relationship Id="rId18" Type="http://schemas.openxmlformats.org/officeDocument/2006/relationships/hyperlink" Target="https://plus.lexis.com/api/document?collection=cases&amp;id=urn:contentItem:5PR6-PP81-DY1P-S09S-00000-00&amp;context=1530671" TargetMode="External" /><Relationship Id="rId19" Type="http://schemas.openxmlformats.org/officeDocument/2006/relationships/hyperlink" Target="https://plus.lexis.com/api/document?collection=cases&amp;id=urn:contentItem:5PR6-PP81-DY1P-S09S-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PR6-PP81-DY1P-S09S-00000-00&amp;context=1530671" TargetMode="External" /><Relationship Id="rId21" Type="http://schemas.openxmlformats.org/officeDocument/2006/relationships/hyperlink" Target="https://plus.lexis.com/api/document?collection=cases&amp;id=urn:contentItem:5FM2-VS01-DY1P-S00G-00000-00&amp;context=1530671" TargetMode="External" /><Relationship Id="rId22" Type="http://schemas.openxmlformats.org/officeDocument/2006/relationships/hyperlink" Target="https://plus.lexis.com/api/document?collection=cases&amp;id=urn:contentItem:5FM2-VS01-DY1P-S00G-00000-00&amp;context=1530671" TargetMode="External" /><Relationship Id="rId23" Type="http://schemas.openxmlformats.org/officeDocument/2006/relationships/hyperlink" Target="https://plus.lexis.com/api/document?collection=cases&amp;id=urn:contentItem:5FM2-VS01-DY1P-S00G-00000-00&amp;context=1530671" TargetMode="External" /><Relationship Id="rId24" Type="http://schemas.openxmlformats.org/officeDocument/2006/relationships/hyperlink" Target="https://plus.lexis.com/api/document?collection=cases&amp;id=urn:contentItem:5FM2-VS01-DY1P-S00G-00000-00&amp;context=1530671" TargetMode="External" /><Relationship Id="rId25" Type="http://schemas.openxmlformats.org/officeDocument/2006/relationships/hyperlink" Target="https://plus.lexis.com/api/document?collection=cases&amp;id=urn:contentItem:5PR6-PP81-DY1P-S09S-00000-00&amp;context=1530671" TargetMode="External" /><Relationship Id="rId26" Type="http://schemas.openxmlformats.org/officeDocument/2006/relationships/hyperlink" Target="https://plus.lexis.com/api/document?collection=cases&amp;id=urn:contentItem:5FM2-VS01-DY1P-S00G-00000-00&amp;context=1530671" TargetMode="External" /><Relationship Id="rId27" Type="http://schemas.openxmlformats.org/officeDocument/2006/relationships/hyperlink" Target="https://plus.lexis.com/api/document?collection=cases&amp;id=urn:contentItem:5PR6-PP81-DY1P-S09S-00000-00&amp;context=1530671" TargetMode="External" /><Relationship Id="rId28" Type="http://schemas.openxmlformats.org/officeDocument/2006/relationships/hyperlink" Target="https://plus.lexis.com/api/document?collection=cases&amp;id=urn:contentItem:5PR6-PP81-DY1P-S09S-00000-00&amp;context=1530671" TargetMode="External" /><Relationship Id="rId29" Type="http://schemas.openxmlformats.org/officeDocument/2006/relationships/hyperlink" Target="https://plus.lexis.com/api/document?collection=statutes-legislation&amp;id=urn:contentItem:6348-FY71-DYB7-W2Y2-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FM2-VS01-DY1P-S00G-00000-00&amp;context=1530671" TargetMode="External" /><Relationship Id="rId31" Type="http://schemas.openxmlformats.org/officeDocument/2006/relationships/hyperlink" Target="https://plus.lexis.com/api/document?collection=cases&amp;id=urn:contentItem:5PR6-PP81-DY1P-S09S-00000-00&amp;context=1530671" TargetMode="External" /><Relationship Id="rId32" Type="http://schemas.openxmlformats.org/officeDocument/2006/relationships/hyperlink" Target="https://plus.lexis.com/api/document?collection=cases&amp;id=urn:contentItem:5FM2-VS01-DY1P-S00G-00000-00&amp;context=1530671" TargetMode="External" /><Relationship Id="rId33" Type="http://schemas.openxmlformats.org/officeDocument/2006/relationships/hyperlink" Target="https://plus.lexis.com/api/document?collection=cases&amp;id=urn:contentItem:5FM2-VS01-DY1P-S00G-00000-00&amp;context=1530671" TargetMode="External" /><Relationship Id="rId34" Type="http://schemas.openxmlformats.org/officeDocument/2006/relationships/hyperlink" Target="https://plus.lexis.com/api/document?collection=cases&amp;id=urn:contentItem:5VFP-C531-JWR6-S0VM-00000-00&amp;context=1530671" TargetMode="External" /><Relationship Id="rId35" Type="http://schemas.openxmlformats.org/officeDocument/2006/relationships/hyperlink" Target="https://plus.lexis.com/api/document?collection=cases&amp;id=urn:contentItem:5VFP-C531-JWR6-S0VM-00000-00&amp;context=1530671" TargetMode="External" /><Relationship Id="rId36" Type="http://schemas.openxmlformats.org/officeDocument/2006/relationships/hyperlink" Target="https://plus.lexis.com/api/document?collection=statutes-legislation&amp;id=urn:contentItem:6348-FY71-DYB7-W2Y2-00000-00&amp;context=1530671" TargetMode="External" /><Relationship Id="rId37" Type="http://schemas.openxmlformats.org/officeDocument/2006/relationships/hyperlink" Target="https://plus.lexis.com/api/document?collection=statutes-legislation&amp;id=urn:contentItem:8T9R-T3X2-8T6X-731X-00000-00&amp;context=1530671" TargetMode="External" /><Relationship Id="rId38" Type="http://schemas.openxmlformats.org/officeDocument/2006/relationships/hyperlink" Target="https://plus.lexis.com/api/document?collection=statutes-legislation&amp;id=urn:contentItem:6348-HF31-DYB7-W097-00000-00&amp;context=1530671" TargetMode="External" /><Relationship Id="rId39" Type="http://schemas.openxmlformats.org/officeDocument/2006/relationships/hyperlink" Target="https://plus.lexis.com/api/document?collection=statutes-legislation&amp;id=urn:contentItem:8T9R-T3H2-D6RV-H37G-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HF31-DYB7-W097-00000-00&amp;context=1530671" TargetMode="External" /><Relationship Id="rId41" Type="http://schemas.openxmlformats.org/officeDocument/2006/relationships/hyperlink" Target="https://plus.lexis.com/api/document?collection=statutes-legislation&amp;id=urn:contentItem:8T9R-T3H2-D6RV-H37G-00000-00&amp;context=1530671" TargetMode="External" /><Relationship Id="rId42" Type="http://schemas.openxmlformats.org/officeDocument/2006/relationships/hyperlink" Target="https://plus.lexis.com/api/document?collection=statutes-legislation&amp;id=urn:contentItem:8T9R-T3X2-8T6X-731X-00000-00&amp;context=1530671" TargetMode="External" /><Relationship Id="rId43" Type="http://schemas.openxmlformats.org/officeDocument/2006/relationships/hyperlink" Target="https://plus.lexis.com/api/document?collection=statutes-legislation&amp;id=urn:contentItem:6348-HF31-DYB7-W097-00000-00&amp;context=1530671" TargetMode="External" /><Relationship Id="rId44" Type="http://schemas.openxmlformats.org/officeDocument/2006/relationships/hyperlink" Target="https://plus.lexis.com/api/document?collection=statutes-legislation&amp;id=urn:contentItem:6348-HF31-DYB7-W097-00000-00&amp;context=1530671" TargetMode="External" /><Relationship Id="rId45" Type="http://schemas.openxmlformats.org/officeDocument/2006/relationships/hyperlink" Target="https://plus.lexis.com/api/document?collection=statutes-legislation&amp;id=urn:contentItem:6348-HF31-DYB7-W097-00000-00&amp;context=1530671" TargetMode="External" /><Relationship Id="rId46" Type="http://schemas.openxmlformats.org/officeDocument/2006/relationships/hyperlink" Target="https://plus.lexis.com/api/document?collection=statutes-legislation&amp;id=urn:contentItem:6C0M-J153-S75R-K166-00000-00&amp;context=1530671" TargetMode="External" /><Relationship Id="rId47" Type="http://schemas.openxmlformats.org/officeDocument/2006/relationships/hyperlink" Target="https://plus.lexis.com/api/document?collection=statutes-legislation&amp;id=urn:contentItem:6348-FY71-DYB7-W2Y2-00000-00&amp;context=1530671" TargetMode="External" /><Relationship Id="rId48" Type="http://schemas.openxmlformats.org/officeDocument/2006/relationships/hyperlink" Target="https://plus.lexis.com/api/document?collection=cases&amp;id=urn:contentItem:5VFP-C531-JWR6-S0VM-00000-00&amp;context=1530671" TargetMode="External" /><Relationship Id="rId49" Type="http://schemas.openxmlformats.org/officeDocument/2006/relationships/hyperlink" Target="https://plus.lexis.com/api/document?collection=cases&amp;id=urn:contentItem:5VFP-C531-JWR6-S0VM-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PR6-PP81-DY1P-S09S-00000-00&amp;context=1530671" TargetMode="External" /><Relationship Id="rId51" Type="http://schemas.openxmlformats.org/officeDocument/2006/relationships/hyperlink" Target="https://plus.lexis.com/api/document?collection=cases&amp;id=urn:contentItem:5PR6-PP81-DY1P-S09S-00000-00&amp;context=1530671" TargetMode="External" /><Relationship Id="rId52" Type="http://schemas.openxmlformats.org/officeDocument/2006/relationships/hyperlink" Target="https://plus.lexis.com/api/document?collection=statutes-legislation&amp;id=urn:contentItem:6348-HF31-DYB7-W097-00000-00&amp;context=1530671" TargetMode="External" /><Relationship Id="rId53" Type="http://schemas.openxmlformats.org/officeDocument/2006/relationships/hyperlink" Target="https://plus.lexis.com/api/document?collection=statutes-legislation&amp;id=urn:contentItem:8T9R-T3H2-D6RV-H37G-00000-00&amp;context=1530671" TargetMode="External" /><Relationship Id="rId54" Type="http://schemas.openxmlformats.org/officeDocument/2006/relationships/hyperlink" Target="https://plus.lexis.com/api/document?collection=statutes-legislation&amp;id=urn:contentItem:8T9R-T3H2-D6RV-H37G-00000-00&amp;context=1530671" TargetMode="External" /><Relationship Id="rId55" Type="http://schemas.openxmlformats.org/officeDocument/2006/relationships/hyperlink" Target="https://plus.lexis.com/api/document?collection=statutes-legislation&amp;id=urn:contentItem:8T9R-T3X2-8T6X-731X-00000-00&amp;context=1530671" TargetMode="External" /><Relationship Id="rId56" Type="http://schemas.openxmlformats.org/officeDocument/2006/relationships/hyperlink" Target="https://plus.lexis.com/api/document?collection=statutes-legislation&amp;id=urn:contentItem:6348-HF31-DYB7-W097-00000-00&amp;context=1530671" TargetMode="External" /><Relationship Id="rId57" Type="http://schemas.openxmlformats.org/officeDocument/2006/relationships/hyperlink" Target="https://plus.lexis.com/api/document?collection=cases&amp;id=urn:contentItem:5PR6-PP81-DY1P-S09S-00000-00&amp;context=1530671" TargetMode="External" /><Relationship Id="rId58" Type="http://schemas.openxmlformats.org/officeDocument/2006/relationships/hyperlink" Target="https://plus.lexis.com/api/document?collection=cases&amp;id=urn:contentItem:6B48-8F63-RRMW-C3YY-00000-00&amp;context=1530671" TargetMode="External" /><Relationship Id="rId59" Type="http://schemas.openxmlformats.org/officeDocument/2006/relationships/hyperlink" Target="https://plus.lexis.com/api/document?collection=cases&amp;id=urn:contentItem:6B48-8F63-RRMW-C3YY-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6PH-43M1-DXHD-G52G-00000-00&amp;context=1530671" TargetMode="External" /><Relationship Id="rId61" Type="http://schemas.openxmlformats.org/officeDocument/2006/relationships/hyperlink" Target="https://plus.lexis.com/api/document?collection=cases&amp;id=urn:contentItem:66PH-43M1-DXHD-G52G-00000-00&amp;context=1530671" TargetMode="External" /><Relationship Id="rId62" Type="http://schemas.openxmlformats.org/officeDocument/2006/relationships/hyperlink" Target="https://plus.lexis.com/api/document?collection=cases&amp;id=urn:contentItem:59VP-BF41-DY1P-S0T8-00000-00&amp;context=1530671" TargetMode="External" /><Relationship Id="rId63" Type="http://schemas.openxmlformats.org/officeDocument/2006/relationships/hyperlink" Target="https://plus.lexis.com/api/document?collection=cases&amp;id=urn:contentItem:59VP-BF41-DY1P-S0T8-00000-00&amp;context=1530671" TargetMode="External" /><Relationship Id="rId64" Type="http://schemas.openxmlformats.org/officeDocument/2006/relationships/hyperlink" Target="https://plus.lexis.com/api/document?collection=statutes-legislation&amp;id=urn:contentItem:6348-FWK1-DYB7-W3HP-00000-00&amp;context=1530671" TargetMode="External" /><Relationship Id="rId65" Type="http://schemas.openxmlformats.org/officeDocument/2006/relationships/hyperlink" Target="https://plus.lexis.com/api/document?collection=statutes-legislation&amp;id=urn:contentItem:6348-FWK1-DYB7-W3HP-00000-00&amp;context=1530671" TargetMode="External" /><Relationship Id="rId66" Type="http://schemas.openxmlformats.org/officeDocument/2006/relationships/hyperlink" Target="https://plus.lexis.com/api/document?collection=cases&amp;id=urn:contentItem:5JV7-DFM1-DY1P-S01J-00000-00&amp;context=1530671" TargetMode="External" /><Relationship Id="rId67" Type="http://schemas.openxmlformats.org/officeDocument/2006/relationships/hyperlink" Target="https://plus.lexis.com/api/document?collection=cases&amp;id=urn:contentItem:5JV7-DFM1-DY1P-S01J-00000-00&amp;context=1530671" TargetMode="External" /><Relationship Id="rId68" Type="http://schemas.openxmlformats.org/officeDocument/2006/relationships/hyperlink" Target="https://plus.lexis.com/api/document?collection=statutes-legislation&amp;id=urn:contentItem:6348-FWK1-DYB7-W3HP-00000-00&amp;context=1530671" TargetMode="External" /><Relationship Id="rId69" Type="http://schemas.openxmlformats.org/officeDocument/2006/relationships/hyperlink" Target="https://plus.lexis.com/api/document?collection=cases&amp;id=urn:contentItem:5JV7-DFM1-DY1P-S01J-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JV7-DFM1-DY1P-S01J-00000-00&amp;context=1530671" TargetMode="External" /><Relationship Id="rId71" Type="http://schemas.openxmlformats.org/officeDocument/2006/relationships/hyperlink" Target="https://plus.lexis.com/api/document?collection=cases&amp;id=urn:contentItem:6B48-8F63-RRMW-C3YY-00000-00&amp;context=1530671" TargetMode="External" /><Relationship Id="rId72" Type="http://schemas.openxmlformats.org/officeDocument/2006/relationships/hyperlink" Target="https://plus.lexis.com/api/document?collection=cases&amp;id=urn:contentItem:6B48-8F63-RRMW-C3YY-00000-00&amp;context=1530671" TargetMode="External" /><Relationship Id="rId73" Type="http://schemas.openxmlformats.org/officeDocument/2006/relationships/hyperlink" Target="https://plus.lexis.com/api/document?collection=statutes-legislation&amp;id=urn:contentItem:6348-FWK1-DYB7-W3HP-00000-00&amp;context=1530671" TargetMode="External" /><Relationship Id="rId74" Type="http://schemas.openxmlformats.org/officeDocument/2006/relationships/theme" Target="theme/theme1.xml" /><Relationship Id="rId75" Type="http://schemas.openxmlformats.org/officeDocument/2006/relationships/numbering" Target="numbering.xml" /><Relationship Id="rId76" Type="http://schemas.openxmlformats.org/officeDocument/2006/relationships/styles" Target="styles.xml" /><Relationship Id="rId8" Type="http://schemas.openxmlformats.org/officeDocument/2006/relationships/hyperlink" Target="https://plus.lexis.com/api/document?collection=cases&amp;id=urn:contentItem:6FB2-FD93-RSDK-H1G1-00000-00&amp;context=1530671" TargetMode="External" /><Relationship Id="rId9" Type="http://schemas.openxmlformats.org/officeDocument/2006/relationships/hyperlink" Target="https://plus.lexis.com/api/document?collection=statutes-legislation&amp;id=urn:contentItem:6348-FY71-DYB7-W2Y2-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83T-FGK3-GXF6-81FY-00000-00&amp;context=1530671" TargetMode="External" /><Relationship Id="rId10" Type="http://schemas.openxmlformats.org/officeDocument/2006/relationships/hyperlink" Target="https://plus.lexis.com/api/document?collection=statutes-legislation&amp;id=urn:contentItem:6348-HF31-DYB7-W097-00000-00&amp;context=1530671" TargetMode="External" /><Relationship Id="rId11" Type="http://schemas.openxmlformats.org/officeDocument/2006/relationships/hyperlink" Target="https://plus.lexis.com/api/document?collection=statutes-legislation&amp;id=urn:contentItem:6348-HF31-DYB7-W097-00000-00&amp;context=1530671" TargetMode="External" /><Relationship Id="rId12" Type="http://schemas.openxmlformats.org/officeDocument/2006/relationships/hyperlink" Target="https://plus.lexis.com/api/document?collection=cases&amp;id=urn:contentItem:5PR6-PP81-DY1P-S09S-00000-00&amp;context=1530671" TargetMode="External" /><Relationship Id="rId13" Type="http://schemas.openxmlformats.org/officeDocument/2006/relationships/hyperlink" Target="https://plus.lexis.com/api/document?collection=cases&amp;id=urn:contentItem:6F84-53Y3-RSJD-J3HM-00000-00&amp;context=1530671" TargetMode="External" /><Relationship Id="rId14" Type="http://schemas.openxmlformats.org/officeDocument/2006/relationships/hyperlink" Target="https://plus.lexis.com/api/document?collection=cases&amp;id=urn:contentItem:6F84-53Y3-RSJD-J3HM-00000-00&amp;context=1530671" TargetMode="External" /><Relationship Id="rId15" Type="http://schemas.openxmlformats.org/officeDocument/2006/relationships/hyperlink" Target="https://plus.lexis.com/api/document?collection=cases&amp;id=urn:contentItem:5VFP-C531-JWR6-S0VM-00000-00&amp;context=1530671" TargetMode="External" /><Relationship Id="rId16" Type="http://schemas.openxmlformats.org/officeDocument/2006/relationships/hyperlink" Target="https://plus.lexis.com/api/document?collection=cases&amp;id=urn:contentItem:5VFP-C531-JWR6-S0VM-00000-00&amp;context=1530671" TargetMode="External" /><Relationship Id="rId17" Type="http://schemas.openxmlformats.org/officeDocument/2006/relationships/hyperlink" Target="https://plus.lexis.com/api/document?collection=statutes-legislation&amp;id=urn:contentItem:6348-FY71-DYB7-W2Y2-00000-00&amp;context=1530671" TargetMode="External" /><Relationship Id="rId18" Type="http://schemas.openxmlformats.org/officeDocument/2006/relationships/hyperlink" Target="https://plus.lexis.com/api/document?collection=statutes-legislation&amp;id=urn:contentItem:6348-HF31-DYB7-W097-00000-00&amp;context=1530671" TargetMode="External" /><Relationship Id="rId19" Type="http://schemas.openxmlformats.org/officeDocument/2006/relationships/hyperlink" Target="https://plus.lexis.com/api/document?collection=cases&amp;id=urn:contentItem:5VFP-C531-JWR6-S0VM-00000-00&amp;context=1530671" TargetMode="External" /><Relationship Id="rId2" Type="http://schemas.openxmlformats.org/officeDocument/2006/relationships/hyperlink" Target="https://plus.lexis.com/api/document?collection=statutes-legislation&amp;id=urn:contentItem:6348-HF31-DYB7-W0VH-00000-00&amp;context=1530671" TargetMode="External" /><Relationship Id="rId20" Type="http://schemas.openxmlformats.org/officeDocument/2006/relationships/hyperlink" Target="https://plus.lexis.com/api/document?collection=cases&amp;id=urn:contentItem:5VFP-C531-JWR6-S0VM-00000-00&amp;context=1530671" TargetMode="External" /><Relationship Id="rId21" Type="http://schemas.openxmlformats.org/officeDocument/2006/relationships/hyperlink" Target="https://plus.lexis.com/api/document?collection=cases&amp;id=urn:contentItem:5VFP-C531-JWR6-S0VM-00000-00&amp;context=1530671" TargetMode="External" /><Relationship Id="rId22" Type="http://schemas.openxmlformats.org/officeDocument/2006/relationships/hyperlink" Target="https://plus.lexis.com/api/document?collection=cases&amp;id=urn:contentItem:5VFP-C531-JWR6-S0VM-00000-00&amp;context=1530671" TargetMode="External" /><Relationship Id="rId23" Type="http://schemas.openxmlformats.org/officeDocument/2006/relationships/hyperlink" Target="https://plus.lexis.com/api/document?collection=cases&amp;id=urn:contentItem:5PR6-PP81-DY1P-S09S-00000-00&amp;context=1530671" TargetMode="External" /><Relationship Id="rId24" Type="http://schemas.openxmlformats.org/officeDocument/2006/relationships/hyperlink" Target="https://plus.lexis.com/api/document?collection=cases&amp;id=urn:contentItem:5PR6-PP81-DY1P-S09S-00000-00&amp;context=1530671" TargetMode="External" /><Relationship Id="rId25" Type="http://schemas.openxmlformats.org/officeDocument/2006/relationships/hyperlink" Target="https://plus.lexis.com/api/document?collection=cases&amp;id=urn:contentItem:3RRM-4DG0-003F-J0J8-00000-00&amp;context=1530671" TargetMode="External" /><Relationship Id="rId26" Type="http://schemas.openxmlformats.org/officeDocument/2006/relationships/hyperlink" Target="https://plus.lexis.com/api/document?collection=cases&amp;id=urn:contentItem:3RRM-4DG0-003F-J0J8-00000-00&amp;context=1530671" TargetMode="External" /><Relationship Id="rId27" Type="http://schemas.openxmlformats.org/officeDocument/2006/relationships/hyperlink" Target="https://plus.lexis.com/api/document?collection=cases&amp;id=urn:contentItem:3RRM-4DG0-003F-J0J8-00000-00&amp;context=1530671" TargetMode="External" /><Relationship Id="rId28" Type="http://schemas.openxmlformats.org/officeDocument/2006/relationships/hyperlink" Target="https://plus.lexis.com/api/document?collection=cases&amp;id=urn:contentItem:3RRM-4DG0-003F-J0J8-00000-00&amp;context=1530671" TargetMode="External" /><Relationship Id="rId29" Type="http://schemas.openxmlformats.org/officeDocument/2006/relationships/hyperlink" Target="https://plus.lexis.com/api/document?collection=cases&amp;id=urn:contentItem:3RRM-4DG0-003F-J0J8-00000-00&amp;context=1530671" TargetMode="External" /><Relationship Id="rId3" Type="http://schemas.openxmlformats.org/officeDocument/2006/relationships/hyperlink" Target="https://plus.lexis.com/api/document?collection=cases&amp;id=urn:contentItem:4R5Y-5PD0-TXFS-D25P-00000-00&amp;context=1530671" TargetMode="External" /><Relationship Id="rId30" Type="http://schemas.openxmlformats.org/officeDocument/2006/relationships/hyperlink" Target="https://plus.lexis.com/api/document?collection=cases&amp;id=urn:contentItem:3RRM-4DG0-003F-J0J8-00000-00&amp;context=1530671" TargetMode="External" /><Relationship Id="rId31" Type="http://schemas.openxmlformats.org/officeDocument/2006/relationships/hyperlink" Target="https://plus.lexis.com/api/document?collection=statutes-legislation&amp;id=urn:contentItem:8T9R-T3X2-8T6X-731X-00000-00&amp;context=1530671" TargetMode="External" /><Relationship Id="rId32" Type="http://schemas.openxmlformats.org/officeDocument/2006/relationships/hyperlink" Target="https://plus.lexis.com/api/document?collection=cases&amp;id=urn:contentItem:5FM2-VS01-DY1P-S00G-00000-00&amp;context=1530671" TargetMode="External" /><Relationship Id="rId33" Type="http://schemas.openxmlformats.org/officeDocument/2006/relationships/hyperlink" Target="https://plus.lexis.com/api/document?collection=cases&amp;id=urn:contentItem:5FM2-VS01-DY1P-S00G-00000-00&amp;context=1530671" TargetMode="External" /><Relationship Id="rId34" Type="http://schemas.openxmlformats.org/officeDocument/2006/relationships/hyperlink" Target="https://plus.lexis.com/api/document?collection=cases&amp;id=urn:contentItem:6B48-8F63-RRMW-C3YY-00000-00&amp;context=1530671" TargetMode="External" /><Relationship Id="rId35" Type="http://schemas.openxmlformats.org/officeDocument/2006/relationships/hyperlink" Target="https://plus.lexis.com/api/document?collection=cases&amp;id=urn:contentItem:6B48-8F63-RRMW-C3YY-00000-00&amp;context=1530671" TargetMode="External" /><Relationship Id="rId36" Type="http://schemas.openxmlformats.org/officeDocument/2006/relationships/hyperlink" Target="https://plus.lexis.com/api/document?collection=cases&amp;id=urn:contentItem:66PH-43M1-DXHD-G52M-00000-00&amp;context=1530671" TargetMode="External" /><Relationship Id="rId37" Type="http://schemas.openxmlformats.org/officeDocument/2006/relationships/hyperlink" Target="https://plus.lexis.com/api/document?collection=cases&amp;id=urn:contentItem:66PH-43M1-DXHD-G52M-00000-00&amp;context=1530671" TargetMode="External" /><Relationship Id="rId38" Type="http://schemas.openxmlformats.org/officeDocument/2006/relationships/hyperlink" Target="https://plus.lexis.com/api/document?collection=statutes-legislation&amp;id=urn:contentItem:6348-FWK1-DYB7-W3HP-00000-00&amp;context=1530671" TargetMode="External" /><Relationship Id="rId39" Type="http://schemas.openxmlformats.org/officeDocument/2006/relationships/hyperlink" Target="https://plus.lexis.com/api/document?collection=cases&amp;id=urn:contentItem:6F54-JJ13-RTVC-W3X1-00000-00&amp;context=1530671" TargetMode="External" /><Relationship Id="rId4" Type="http://schemas.openxmlformats.org/officeDocument/2006/relationships/hyperlink" Target="https://plus.lexis.com/api/document?collection=cases&amp;id=urn:contentItem:4R5Y-5PD0-TXFS-D25P-00000-00&amp;context=1530671" TargetMode="External" /><Relationship Id="rId40" Type="http://schemas.openxmlformats.org/officeDocument/2006/relationships/hyperlink" Target="https://plus.lexis.com/api/document?collection=cases&amp;id=urn:contentItem:6F54-JJ13-RTVC-W3X1-00000-00&amp;context=1530671" TargetMode="External" /><Relationship Id="rId41" Type="http://schemas.openxmlformats.org/officeDocument/2006/relationships/hyperlink" Target="https://plus.lexis.com/api/document?collection=statutes-legislation&amp;id=urn:contentItem:6348-FWK1-DYB7-W3HP-00000-00&amp;context=1530671" TargetMode="External" /><Relationship Id="rId5" Type="http://schemas.openxmlformats.org/officeDocument/2006/relationships/hyperlink" Target="https://plus.lexis.com/api/document?collection=statutes-legislation&amp;id=urn:contentItem:6348-FY71-DYB7-W2H8-00000-00&amp;context=1530671" TargetMode="External" /><Relationship Id="rId6" Type="http://schemas.openxmlformats.org/officeDocument/2006/relationships/hyperlink" Target="https://plus.lexis.com/api/document?collection=statutes-legislation&amp;id=urn:contentItem:6C0M-J153-S75R-K166-00000-00&amp;context=1530671" TargetMode="External" /><Relationship Id="rId7" Type="http://schemas.openxmlformats.org/officeDocument/2006/relationships/hyperlink" Target="https://plus.lexis.com/api/document?collection=statutes-legislation&amp;id=urn:contentItem:6348-HF31-DYB7-W0BC-00000-00&amp;context=1530671" TargetMode="External" /><Relationship Id="rId8" Type="http://schemas.openxmlformats.org/officeDocument/2006/relationships/hyperlink" Target="https://plus.lexis.com/api/document?collection=cases&amp;id=urn:contentItem:64K1-FK61-JT99-210D-00000-00&amp;context=1530671" TargetMode="External" /><Relationship Id="rId9" Type="http://schemas.openxmlformats.org/officeDocument/2006/relationships/hyperlink" Target="https://plus.lexis.com/api/document?collection=cases&amp;id=urn:contentItem:64K1-FK61-JT99-210D-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Dias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B2-FD93-RSDK-H1G1-00000-00">
    <vt:lpwstr>Doc::/shared/document|contextualFeaturePermID::1530671</vt:lpwstr>
  </property>
  <property fmtid="{D5CDD505-2E9C-101B-9397-08002B2CF9AE}" pid="4" name="LNDeliveryID">
    <vt:lpwstr>280593109</vt:lpwstr>
  </property>
  <property fmtid="{D5CDD505-2E9C-101B-9397-08002B2CF9AE}" pid="5" name="UserPermID">
    <vt:lpwstr>urn:user:PA197239389</vt:lpwstr>
  </property>
</Properties>
</file>