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5"/>
          <w:footerReference w:type="default" r:id="rId6"/>
          <w:footerReference w:type="first" r:id="rId7"/>
          <w:pgSz w:w="12240" w:h="15840"/>
          <w:pgMar w:top="840" w:right="1000" w:bottom="840" w:left="1000" w:header="400" w:footer="400"/>
          <w:pgNumType w:fmt="decimal"/>
          <w:cols w:space="720"/>
          <w:titlePg/>
        </w:sectPr>
      </w:pP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shd w:val="clear" w:color="auto" w:fill="FFFFFF"/>
            <w:vertAlign w:val="baseline"/>
          </w:rPr>
          <w:t>Trabue v. Hanson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Court of Appeals of Georgia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28, 2025, Decided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A25A0847</w:t>
      </w:r>
      <w:r>
        <w:rPr>
          <w:rFonts w:ascii="arial" w:eastAsia="arial" w:hAnsi="arial" w:cs="arial"/>
          <w:b w:val="0"/>
          <w:i w:val="0"/>
          <w:strike w:val="0"/>
          <w:noProof w:val="0"/>
          <w:color w:val="000000"/>
          <w:position w:val="0"/>
          <w:sz w:val="20"/>
          <w:u w:val="none"/>
          <w:vertAlign w:val="baseline"/>
        </w:rPr>
        <w:t>.</w:t>
      </w:r>
    </w:p>
    <w:p>
      <w:pPr>
        <w:keepNext w:val="0"/>
        <w:spacing w:after="0" w:line="240" w:lineRule="atLeast"/>
        <w:ind w:right="0"/>
        <w:jc w:val="both"/>
      </w:pPr>
      <w:bookmarkStart w:id="0" w:name="Bookmark_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377 Ga. App. 450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922 S.E.2d 684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2025 Ga. App. LEXIS 487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2025 LX 488078</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2025 WL 3011460</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TRABUE et al. v. HANSON et al.</w:t>
      </w:r>
    </w:p>
    <w:p>
      <w:pPr>
        <w:keepNext w:val="0"/>
        <w:spacing w:before="240" w:after="0" w:line="260" w:lineRule="atLeast"/>
        <w:ind w:left="0" w:right="0" w:firstLine="0"/>
        <w:jc w:val="both"/>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Cert. applied for.</w:t>
      </w:r>
    </w:p>
    <w:p>
      <w:pPr>
        <w:keepNext w:val="0"/>
        <w:spacing w:before="240" w:after="0" w:line="260" w:lineRule="atLeast"/>
        <w:ind w:left="0" w:right="0" w:firstLine="0"/>
        <w:jc w:val="both"/>
      </w:pPr>
      <w:bookmarkStart w:id="3" w:name="Prior History"/>
      <w:bookmarkEnd w:id="3"/>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Attorney fees. Fulton State Court. Before Judge Eady.</w:t>
      </w:r>
    </w:p>
    <w:p>
      <w:pPr>
        <w:keepNext w:val="0"/>
        <w:spacing w:before="240" w:after="0" w:line="260" w:lineRule="atLeast"/>
        <w:ind w:left="0" w:right="0" w:firstLine="0"/>
        <w:jc w:val="left"/>
      </w:pPr>
      <w:r>
        <w:br/>
      </w:r>
      <w:hyperlink r:id="rId9" w:history="1">
        <w:r>
          <w:rPr>
            <w:rFonts w:ascii="arial" w:eastAsia="arial" w:hAnsi="arial" w:cs="arial"/>
            <w:b w:val="0"/>
            <w:i/>
            <w:strike w:val="0"/>
            <w:color w:val="0077CC"/>
            <w:sz w:val="20"/>
            <w:u w:val="single"/>
            <w:shd w:val="clear" w:color="auto" w:fill="FFFFFF"/>
            <w:vertAlign w:val="baseline"/>
          </w:rPr>
          <w:t>Trabue v. Atlanta Women’s Specialists, LLC, 349 Ga. App. 223, 825 S.E.2d 586, 2019 Ga. App. LEXIS 140, 2019 WL 1068194 (Mar. 7, 2019)</w:t>
        </w:r>
      </w:hyperlink>
    </w:p>
    <w:p>
      <w:pPr>
        <w:keepNext w:val="0"/>
        <w:spacing w:before="240" w:after="0" w:line="260" w:lineRule="atLeast"/>
        <w:ind w:left="0" w:right="0" w:firstLine="0"/>
        <w:jc w:val="both"/>
      </w:pPr>
      <w:bookmarkStart w:id="4" w:name="Disposition"/>
      <w:bookmarkEnd w:id="4"/>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5" w:name="Bookmark_clspara_17"/>
      <w:bookmarkEnd w:id="5"/>
      <w:r>
        <w:rPr>
          <w:rFonts w:ascii="arial" w:eastAsia="arial" w:hAnsi="arial" w:cs="arial"/>
          <w:b w:val="0"/>
          <w:i w:val="0"/>
          <w:strike w:val="0"/>
          <w:noProof w:val="0"/>
          <w:color w:val="000000"/>
          <w:position w:val="0"/>
          <w:sz w:val="20"/>
          <w:u w:val="none"/>
          <w:vertAlign w:val="baseline"/>
        </w:rPr>
        <w:t>Judgment affirmed.</w:t>
      </w:r>
    </w:p>
    <w:p>
      <w:pPr>
        <w:keepNext w:val="0"/>
        <w:spacing w:before="240" w:after="0" w:line="260" w:lineRule="atLeast"/>
        <w:ind w:left="0" w:right="0" w:firstLine="0"/>
        <w:jc w:val="left"/>
      </w:pPr>
      <w:bookmarkStart w:id="6" w:name="Counsel"/>
      <w:bookmarkEnd w:id="6"/>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strike w:val="0"/>
          <w:noProof w:val="0"/>
          <w:color w:val="000000"/>
          <w:position w:val="0"/>
          <w:sz w:val="20"/>
          <w:u w:val="none"/>
          <w:vertAlign w:val="baseline"/>
        </w:rPr>
        <w:t>Stone Law Group - Trial Lawyers, William S. Stone, Ryals D. Stone, James W. Stone; Bondurant Mixson &amp; Elmore, Michael B. Terry</w:t>
      </w:r>
      <w:r>
        <w:rPr>
          <w:rFonts w:ascii="arial" w:eastAsia="arial" w:hAnsi="arial" w:cs="arial"/>
          <w:b w:val="0"/>
          <w:i w:val="0"/>
          <w:strike w:val="0"/>
          <w:noProof w:val="0"/>
          <w:color w:val="000000"/>
          <w:position w:val="0"/>
          <w:sz w:val="20"/>
          <w:u w:val="none"/>
          <w:vertAlign w:val="baseline"/>
        </w:rPr>
        <w:t>, for appellants.</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Hanson Fuller, David C. Hanson; McClure &amp; Kornheiser, Michael D. Flint, Mary E. Lighthiser</w:t>
      </w:r>
      <w:r>
        <w:rPr>
          <w:rFonts w:ascii="arial" w:eastAsia="arial" w:hAnsi="arial" w:cs="arial"/>
          <w:b w:val="0"/>
          <w:i w:val="0"/>
          <w:strike w:val="0"/>
          <w:noProof w:val="0"/>
          <w:color w:val="000000"/>
          <w:position w:val="0"/>
          <w:sz w:val="20"/>
          <w:u w:val="none"/>
          <w:vertAlign w:val="baseline"/>
        </w:rPr>
        <w:t>, for appellees.</w:t>
      </w:r>
    </w:p>
    <w:p>
      <w:pPr>
        <w:keepNext w:val="0"/>
        <w:spacing w:before="240" w:after="0" w:line="260" w:lineRule="atLeast"/>
        <w:ind w:left="0" w:right="0" w:firstLine="0"/>
        <w:jc w:val="left"/>
      </w:pPr>
      <w:bookmarkStart w:id="7" w:name="Judges"/>
      <w:bookmarkEnd w:id="7"/>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MARKLE, Judge. Doyle, P. J., and Padgett, J., concur.</w:t>
      </w:r>
    </w:p>
    <w:p>
      <w:pPr>
        <w:keepNext w:val="0"/>
        <w:spacing w:before="240" w:after="0" w:line="260" w:lineRule="atLeast"/>
        <w:ind w:left="0" w:right="0" w:firstLine="0"/>
        <w:jc w:val="left"/>
      </w:pPr>
      <w:bookmarkStart w:id="8" w:name="Opinion by"/>
      <w:bookmarkEnd w:id="8"/>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MARKLE</w:t>
      </w:r>
    </w:p>
    <w:p>
      <w:pPr>
        <w:keepNext/>
        <w:spacing w:before="240" w:after="0" w:line="340" w:lineRule="atLeast"/>
        <w:ind w:left="0" w:right="0" w:firstLine="0"/>
        <w:jc w:val="left"/>
      </w:pPr>
      <w:bookmarkStart w:id="9" w:name="Opinion"/>
      <w:bookmarkEnd w:id="9"/>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[*450]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[**686]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mallCaps/>
          <w:strike w:val="0"/>
          <w:noProof w:val="0"/>
          <w:color w:val="000000"/>
          <w:position w:val="0"/>
          <w:sz w:val="20"/>
          <w:u w:val="none"/>
          <w:vertAlign w:val="baseline"/>
        </w:rPr>
        <w:t>Markle</w:t>
      </w:r>
      <w:r>
        <w:rPr>
          <w:rFonts w:ascii="arial" w:eastAsia="arial" w:hAnsi="arial" w:cs="arial"/>
          <w:b w:val="0"/>
          <w:i w:val="0"/>
          <w:strike w:val="0"/>
          <w:noProof w:val="0"/>
          <w:color w:val="000000"/>
          <w:position w:val="0"/>
          <w:sz w:val="20"/>
          <w:u w:val="none"/>
          <w:vertAlign w:val="baseline"/>
        </w:rPr>
        <w:t>, Judge.</w:t>
      </w:r>
    </w:p>
    <w:p>
      <w:pPr>
        <w:keepNext w:val="0"/>
        <w:spacing w:before="240" w:after="0" w:line="260" w:lineRule="atLeast"/>
        <w:ind w:left="0" w:right="0" w:firstLine="0"/>
        <w:jc w:val="both"/>
      </w:pPr>
      <w:bookmarkStart w:id="10" w:name="Bookmark_I08HC7MF667003MC993009K1"/>
      <w:bookmarkEnd w:id="10"/>
      <w:r>
        <w:rPr>
          <w:rFonts w:ascii="arial" w:eastAsia="arial" w:hAnsi="arial" w:cs="arial"/>
          <w:b w:val="0"/>
          <w:i w:val="0"/>
          <w:strike w:val="0"/>
          <w:noProof w:val="0"/>
          <w:color w:val="000000"/>
          <w:position w:val="0"/>
          <w:sz w:val="20"/>
          <w:u w:val="none"/>
          <w:vertAlign w:val="baseline"/>
        </w:rPr>
        <w:t xml:space="preserve">Keith Trabue appeals from the trial court’s order granting attorney fees to David Hanson under </w:t>
      </w:r>
      <w:hyperlink r:id="rId10" w:history="1">
        <w:r>
          <w:rPr>
            <w:rFonts w:ascii="arial" w:eastAsia="arial" w:hAnsi="arial" w:cs="arial"/>
            <w:b w:val="0"/>
            <w:i/>
            <w:strike w:val="0"/>
            <w:noProof w:val="0"/>
            <w:color w:val="0077CC"/>
            <w:position w:val="0"/>
            <w:sz w:val="20"/>
            <w:u w:val="single"/>
            <w:shd w:val="clear" w:color="auto" w:fill="FFFFFF"/>
            <w:vertAlign w:val="baseline"/>
          </w:rPr>
          <w:t>OCGA § 9-15-14</w:t>
        </w:r>
      </w:hyperlink>
      <w:r>
        <w:rPr>
          <w:rFonts w:ascii="arial" w:eastAsia="arial" w:hAnsi="arial" w:cs="arial"/>
          <w:b w:val="0"/>
          <w:i w:val="0"/>
          <w:strike w:val="0"/>
          <w:noProof w:val="0"/>
          <w:color w:val="000000"/>
          <w:position w:val="0"/>
          <w:sz w:val="20"/>
          <w:u w:val="none"/>
          <w:vertAlign w:val="baseline"/>
        </w:rPr>
        <w:t xml:space="preserve">, and to Michael Flint under </w:t>
      </w:r>
      <w:hyperlink r:id="rId11" w:history="1">
        <w:r>
          <w:rPr>
            <w:rFonts w:ascii="arial" w:eastAsia="arial" w:hAnsi="arial" w:cs="arial"/>
            <w:b w:val="0"/>
            <w:i/>
            <w:strike w:val="0"/>
            <w:noProof w:val="0"/>
            <w:color w:val="0077CC"/>
            <w:position w:val="0"/>
            <w:sz w:val="20"/>
            <w:u w:val="single"/>
            <w:shd w:val="clear" w:color="auto" w:fill="FFFFFF"/>
            <w:vertAlign w:val="baseline"/>
          </w:rPr>
          <w:t>OCGA § 9-11-11.1</w:t>
        </w:r>
      </w:hyperlink>
      <w:r>
        <w:rPr>
          <w:rFonts w:ascii="arial" w:eastAsia="arial" w:hAnsi="arial" w:cs="arial"/>
          <w:b w:val="0"/>
          <w:i w:val="0"/>
          <w:strike w:val="0"/>
          <w:noProof w:val="0"/>
          <w:color w:val="000000"/>
          <w:position w:val="0"/>
          <w:sz w:val="20"/>
          <w:u w:val="none"/>
          <w:vertAlign w:val="baseline"/>
        </w:rPr>
        <w:t>. For the reasons that follow, we affirm.</w:t>
      </w:r>
      <w:r>
        <w:rPr>
          <w:rFonts w:ascii="arial" w:eastAsia="arial" w:hAnsi="arial" w:cs="arial"/>
          <w:vertAlign w:val="superscript"/>
        </w:rPr>
        <w:footnoteReference w:customMarkFollows="1" w:id="2"/>
        <w:t xml:space="preserve">1</w:t>
      </w:r>
    </w:p>
    <w:p>
      <w:pPr>
        <w:keepNext w:val="0"/>
        <w:spacing w:before="200" w:after="0" w:line="260" w:lineRule="atLeast"/>
        <w:ind w:left="0" w:right="0" w:firstLine="0"/>
        <w:jc w:val="both"/>
      </w:pPr>
      <w:bookmarkStart w:id="13" w:name="Bookmark_I08HC7MF667003MC993009K3"/>
      <w:bookmarkEnd w:id="13"/>
      <w:r>
        <w:rPr>
          <w:rFonts w:ascii="arial" w:eastAsia="arial" w:hAnsi="arial" w:cs="arial"/>
          <w:b w:val="0"/>
          <w:i w:val="0"/>
          <w:strike w:val="0"/>
          <w:noProof w:val="0"/>
          <w:color w:val="000000"/>
          <w:position w:val="0"/>
          <w:sz w:val="20"/>
          <w:u w:val="none"/>
          <w:vertAlign w:val="baseline"/>
        </w:rPr>
        <w:t> [*451]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[**687] </w:t>
      </w:r>
      <w:r>
        <w:rPr>
          <w:rFonts w:ascii="arial" w:eastAsia="arial" w:hAnsi="arial" w:cs="arial"/>
          <w:b w:val="0"/>
          <w:i w:val="0"/>
          <w:strike w:val="0"/>
          <w:noProof w:val="0"/>
          <w:color w:val="000000"/>
          <w:position w:val="0"/>
          <w:sz w:val="20"/>
          <w:u w:val="none"/>
          <w:vertAlign w:val="baseline"/>
        </w:rPr>
        <w:t xml:space="preserve"> This appeal involves the on-going medical malpractice dispute between Keith Trabue and Atlanta Women’s Specialists and one of its doctors (collectively, “the defendants”), arising from the catastrophic brain injury Trabue’s wife, Shannon Marie Trabue, suffered a few days after giving birth. </w:t>
      </w:r>
      <w:bookmarkStart w:id="14" w:name="Bookmark_I08HC7MF79Y003MC993009MS"/>
      <w:bookmarkEnd w:id="14"/>
      <w:bookmarkStart w:id="15" w:name="Bookmark_I08HC7MF79Y003MC993009MX"/>
      <w:bookmarkEnd w:id="15"/>
      <w:r>
        <w:rPr>
          <w:rFonts w:ascii="arial" w:eastAsia="arial" w:hAnsi="arial" w:cs="arial"/>
          <w:b w:val="0"/>
          <w:i w:val="0"/>
          <w:strike w:val="0"/>
          <w:noProof w:val="0"/>
          <w:color w:val="000000"/>
          <w:position w:val="0"/>
          <w:sz w:val="20"/>
          <w:u w:val="none"/>
          <w:vertAlign w:val="baseline"/>
        </w:rPr>
        <w:t xml:space="preserve">Following a trial, the jury awarded Trabue $46 million. </w:t>
      </w:r>
      <w:bookmarkStart w:id="16" w:name="Bookmark_I08HC7MF667003MC993009K2"/>
      <w:bookmarkEnd w:id="16"/>
      <w:hyperlink r:id="rId12" w:history="1">
        <w:r>
          <w:rPr>
            <w:rFonts w:ascii="arial" w:eastAsia="arial" w:hAnsi="arial" w:cs="arial"/>
            <w:b w:val="0"/>
            <w:i/>
            <w:strike w:val="0"/>
            <w:noProof w:val="0"/>
            <w:color w:val="0077CC"/>
            <w:position w:val="0"/>
            <w:sz w:val="20"/>
            <w:u w:val="single"/>
            <w:shd w:val="clear" w:color="auto" w:fill="FFFFFF"/>
            <w:vertAlign w:val="baseline"/>
          </w:rPr>
          <w:t>Trabue v. Atlanta Women’s Specialists</w:t>
        </w:r>
      </w:hyperlink>
      <w:hyperlink r:id="rId13" w:history="1">
        <w:r>
          <w:rPr>
            <w:rFonts w:ascii="arial" w:eastAsia="arial" w:hAnsi="arial" w:cs="arial"/>
            <w:b w:val="0"/>
            <w:i/>
            <w:strike w:val="0"/>
            <w:noProof w:val="0"/>
            <w:color w:val="0077CC"/>
            <w:position w:val="0"/>
            <w:sz w:val="20"/>
            <w:u w:val="single"/>
            <w:shd w:val="clear" w:color="auto" w:fill="FFFFFF"/>
            <w:vertAlign w:val="baseline"/>
          </w:rPr>
          <w:t>, 349 Ga. App. 223 (825 SE2d 586) (2019)</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Trabue I</w:t>
      </w:r>
      <w:r>
        <w:rPr>
          <w:rFonts w:ascii="arial" w:eastAsia="arial" w:hAnsi="arial" w:cs="arial"/>
          <w:b w:val="0"/>
          <w:i w:val="0"/>
          <w:strike w:val="0"/>
          <w:noProof w:val="0"/>
          <w:color w:val="000000"/>
          <w:position w:val="0"/>
          <w:sz w:val="20"/>
          <w:u w:val="none"/>
          <w:vertAlign w:val="baseline"/>
        </w:rPr>
        <w:t xml:space="preserve">”). </w:t>
      </w:r>
      <w:bookmarkStart w:id="17" w:name="Bookmark_I08HC7MF79Y003MC993009MX_2"/>
      <w:bookmarkEnd w:id="17"/>
      <w:bookmarkStart w:id="18" w:name="Bookmark_I08HC7MF79Y003MC993009MS_2"/>
      <w:bookmarkEnd w:id="18"/>
      <w:bookmarkStart w:id="19" w:name="Bookmark_I08HC7MF79Y003MC993009MV"/>
      <w:bookmarkEnd w:id="19"/>
      <w:r>
        <w:rPr>
          <w:rFonts w:ascii="arial" w:eastAsia="arial" w:hAnsi="arial" w:cs="arial"/>
          <w:b w:val="0"/>
          <w:i w:val="0"/>
          <w:strike w:val="0"/>
          <w:noProof w:val="0"/>
          <w:color w:val="000000"/>
          <w:position w:val="0"/>
          <w:sz w:val="20"/>
          <w:u w:val="none"/>
          <w:vertAlign w:val="baseline"/>
        </w:rPr>
        <w:t>The defendants moved for a new trial, which the trial court granted in part.</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See id. On appeal, we affirmed in part, reversed in part, vacated in part, and remanded the case to the trial court, to consider the claim for fees. </w:t>
      </w:r>
      <w:bookmarkStart w:id="22" w:name="Bookmark_I08HC7MF667003MC993009K4"/>
      <w:bookmarkEnd w:id="22"/>
      <w:hyperlink r:id="rId14" w:history="1">
        <w:r>
          <w:rPr>
            <w:rFonts w:ascii="arial" w:eastAsia="arial" w:hAnsi="arial" w:cs="arial"/>
            <w:b w:val="0"/>
            <w:i/>
            <w:strike w:val="0"/>
            <w:noProof w:val="0"/>
            <w:color w:val="0077CC"/>
            <w:position w:val="0"/>
            <w:sz w:val="20"/>
            <w:u w:val="single"/>
            <w:shd w:val="clear" w:color="auto" w:fill="FFFFFF"/>
            <w:vertAlign w:val="baseline"/>
          </w:rPr>
          <w:t>Id. at 232(3)</w:t>
        </w:r>
      </w:hyperlink>
      <w:r>
        <w:rPr>
          <w:rFonts w:ascii="arial" w:eastAsia="arial" w:hAnsi="arial" w:cs="arial"/>
          <w:b w:val="0"/>
          <w:i w:val="0"/>
          <w:strike w:val="0"/>
          <w:noProof w:val="0"/>
          <w:color w:val="000000"/>
          <w:position w:val="0"/>
          <w:sz w:val="20"/>
          <w:u w:val="none"/>
          <w:vertAlign w:val="baseline"/>
        </w:rPr>
        <w:t xml:space="preserve">. </w:t>
      </w:r>
      <w:bookmarkStart w:id="23" w:name="Bookmark_I08HC7MF79Y003MC993009MV_2"/>
      <w:bookmarkEnd w:id="23"/>
      <w:r>
        <w:rPr>
          <w:rFonts w:ascii="arial" w:eastAsia="arial" w:hAnsi="arial" w:cs="arial"/>
          <w:b w:val="0"/>
          <w:i w:val="0"/>
          <w:strike w:val="0"/>
          <w:noProof w:val="0"/>
          <w:color w:val="000000"/>
          <w:position w:val="0"/>
          <w:sz w:val="20"/>
          <w:u w:val="none"/>
          <w:vertAlign w:val="baseline"/>
        </w:rPr>
        <w:t xml:space="preserve">Our Supreme Court granted certiorari and affirmed. </w:t>
      </w:r>
      <w:bookmarkStart w:id="24" w:name="Bookmark_I08HC7MF79Y003MC993009MT"/>
      <w:bookmarkEnd w:id="24"/>
      <w:hyperlink r:id="rId15" w:history="1">
        <w:r>
          <w:rPr>
            <w:rFonts w:ascii="arial" w:eastAsia="arial" w:hAnsi="arial" w:cs="arial"/>
            <w:b w:val="0"/>
            <w:i/>
            <w:strike w:val="0"/>
            <w:noProof w:val="0"/>
            <w:color w:val="0077CC"/>
            <w:position w:val="0"/>
            <w:sz w:val="20"/>
            <w:u w:val="single"/>
            <w:shd w:val="clear" w:color="auto" w:fill="FFFFFF"/>
            <w:vertAlign w:val="baseline"/>
          </w:rPr>
          <w:t>Atlanta Women’s Specialists v. Trabue</w:t>
        </w:r>
      </w:hyperlink>
      <w:hyperlink r:id="rId16" w:history="1">
        <w:r>
          <w:rPr>
            <w:rFonts w:ascii="arial" w:eastAsia="arial" w:hAnsi="arial" w:cs="arial"/>
            <w:b w:val="0"/>
            <w:i/>
            <w:strike w:val="0"/>
            <w:noProof w:val="0"/>
            <w:color w:val="0077CC"/>
            <w:position w:val="0"/>
            <w:sz w:val="20"/>
            <w:u w:val="single"/>
            <w:shd w:val="clear" w:color="auto" w:fill="FFFFFF"/>
            <w:vertAlign w:val="baseline"/>
          </w:rPr>
          <w:t>, 310 Ga. 331 (850 SE2d 748) (2020)</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Trabue II</w:t>
      </w:r>
      <w:r>
        <w:rPr>
          <w:rFonts w:ascii="arial" w:eastAsia="arial" w:hAnsi="arial" w:cs="arial"/>
          <w:b w:val="0"/>
          <w:i w:val="0"/>
          <w:strike w:val="0"/>
          <w:noProof w:val="0"/>
          <w:color w:val="000000"/>
          <w:position w:val="0"/>
          <w:sz w:val="20"/>
          <w:u w:val="none"/>
          <w:vertAlign w:val="baseline"/>
        </w:rPr>
        <w:t xml:space="preserve"> ”). On remand to the trial court, Flint and Hanson, as the attorneys for the defendants, moved to set aside the judgment. And, before the trial court ruled on that motion, they filed another appeal. We affirmed on the ground that the issues raised should have been raised in the prior appeal. See </w:t>
      </w:r>
      <w:r>
        <w:rPr>
          <w:rFonts w:ascii="arial" w:eastAsia="arial" w:hAnsi="arial" w:cs="arial"/>
          <w:b w:val="0"/>
          <w:i/>
          <w:strike w:val="0"/>
          <w:noProof w:val="0"/>
          <w:color w:val="000000"/>
          <w:position w:val="0"/>
          <w:sz w:val="20"/>
          <w:u w:val="none"/>
          <w:vertAlign w:val="baseline"/>
        </w:rPr>
        <w:t>Atlanta Women’s Specialists v. Trabue</w:t>
      </w:r>
      <w:r>
        <w:rPr>
          <w:rFonts w:ascii="arial" w:eastAsia="arial" w:hAnsi="arial" w:cs="arial"/>
          <w:b w:val="0"/>
          <w:i w:val="0"/>
          <w:strike w:val="0"/>
          <w:noProof w:val="0"/>
          <w:color w:val="000000"/>
          <w:position w:val="0"/>
          <w:sz w:val="20"/>
          <w:u w:val="none"/>
          <w:vertAlign w:val="baseline"/>
        </w:rPr>
        <w:t>, 362 Ga. App. XXVI (Dec. 14, 2021) (unpublished) (“</w:t>
      </w:r>
      <w:r>
        <w:rPr>
          <w:rFonts w:ascii="arial" w:eastAsia="arial" w:hAnsi="arial" w:cs="arial"/>
          <w:b w:val="0"/>
          <w:i/>
          <w:strike w:val="0"/>
          <w:noProof w:val="0"/>
          <w:color w:val="000000"/>
          <w:position w:val="0"/>
          <w:sz w:val="20"/>
          <w:u w:val="none"/>
          <w:vertAlign w:val="baseline"/>
        </w:rPr>
        <w:t>Trabue III</w:t>
      </w:r>
      <w:r>
        <w:rPr>
          <w:rFonts w:ascii="arial" w:eastAsia="arial" w:hAnsi="arial" w:cs="arial"/>
          <w:b w:val="0"/>
          <w:i/>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 The Supreme Court of Georgia denied review (“</w:t>
      </w:r>
      <w:r>
        <w:rPr>
          <w:rFonts w:ascii="arial" w:eastAsia="arial" w:hAnsi="arial" w:cs="arial"/>
          <w:b w:val="0"/>
          <w:i/>
          <w:strike w:val="0"/>
          <w:noProof w:val="0"/>
          <w:color w:val="000000"/>
          <w:position w:val="0"/>
          <w:sz w:val="20"/>
          <w:u w:val="none"/>
          <w:vertAlign w:val="baseline"/>
        </w:rPr>
        <w:t>Trabue IV</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Thereafter, Trabue filed an abusive litigation complaint under </w:t>
      </w:r>
      <w:hyperlink r:id="rId17" w:history="1">
        <w:r>
          <w:rPr>
            <w:rFonts w:ascii="arial" w:eastAsia="arial" w:hAnsi="arial" w:cs="arial"/>
            <w:b w:val="0"/>
            <w:i/>
            <w:strike w:val="0"/>
            <w:noProof w:val="0"/>
            <w:color w:val="0077CC"/>
            <w:position w:val="0"/>
            <w:sz w:val="20"/>
            <w:u w:val="single"/>
            <w:shd w:val="clear" w:color="auto" w:fill="FFFFFF"/>
            <w:vertAlign w:val="baseline"/>
          </w:rPr>
          <w:t>OCGA § 51-7-81</w:t>
        </w:r>
      </w:hyperlink>
      <w:r>
        <w:rPr>
          <w:rFonts w:ascii="arial" w:eastAsia="arial" w:hAnsi="arial" w:cs="arial"/>
          <w:b w:val="0"/>
          <w:i w:val="0"/>
          <w:strike w:val="0"/>
          <w:noProof w:val="0"/>
          <w:color w:val="000000"/>
          <w:position w:val="0"/>
          <w:sz w:val="20"/>
          <w:u w:val="none"/>
          <w:vertAlign w:val="baseline"/>
        </w:rPr>
        <w:t xml:space="preserve"> against Flint and Hanson, asserting that the repeated attempts to overturn the jury’s verdict in the medical malpractice case, and the filing of multiple appeals, were frivolous delay tactics designed to avoid payment of the judgment in </w:t>
      </w:r>
      <w:r>
        <w:rPr>
          <w:rFonts w:ascii="arial" w:eastAsia="arial" w:hAnsi="arial" w:cs="arial"/>
          <w:b w:val="0"/>
          <w:i/>
          <w:strike w:val="0"/>
          <w:noProof w:val="0"/>
          <w:color w:val="000000"/>
          <w:position w:val="0"/>
          <w:sz w:val="20"/>
          <w:u w:val="none"/>
          <w:vertAlign w:val="baseline"/>
        </w:rPr>
        <w:t>Trabue I</w:t>
      </w:r>
      <w:r>
        <w:rPr>
          <w:rFonts w:ascii="arial" w:eastAsia="arial" w:hAnsi="arial" w:cs="arial"/>
          <w:b w:val="0"/>
          <w:i w:val="0"/>
          <w:strike w:val="0"/>
          <w:noProof w:val="0"/>
          <w:color w:val="000000"/>
          <w:position w:val="0"/>
          <w:sz w:val="20"/>
          <w:u w:val="none"/>
          <w:vertAlign w:val="baseline"/>
        </w:rPr>
        <w:t xml:space="preserve"> and were made to harass and intimidate Trabue. Notably, at the time Trabue filed the abusive litigation suit, the issue of attorney fees from </w:t>
      </w:r>
      <w:r>
        <w:rPr>
          <w:rFonts w:ascii="arial" w:eastAsia="arial" w:hAnsi="arial" w:cs="arial"/>
          <w:b w:val="0"/>
          <w:i/>
          <w:strike w:val="0"/>
          <w:noProof w:val="0"/>
          <w:color w:val="000000"/>
          <w:position w:val="0"/>
          <w:sz w:val="20"/>
          <w:u w:val="none"/>
          <w:vertAlign w:val="baseline"/>
        </w:rPr>
        <w:t>Trabue I</w:t>
      </w:r>
      <w:r>
        <w:rPr>
          <w:rFonts w:ascii="arial" w:eastAsia="arial" w:hAnsi="arial" w:cs="arial"/>
          <w:b w:val="0"/>
          <w:i w:val="0"/>
          <w:strike w:val="0"/>
          <w:noProof w:val="0"/>
          <w:color w:val="000000"/>
          <w:position w:val="0"/>
          <w:sz w:val="20"/>
          <w:u w:val="none"/>
          <w:vertAlign w:val="baseline"/>
        </w:rPr>
        <w:t xml:space="preserve"> remained pending in the trial court.</w:t>
      </w:r>
      <w:r>
        <w:rPr>
          <w:rFonts w:ascii="arial" w:eastAsia="arial" w:hAnsi="arial" w:cs="arial"/>
          <w:vertAlign w:val="superscript"/>
        </w:rPr>
        <w:footnoteReference w:customMarkFollows="1" w:id="4"/>
        <w:t xml:space="preserve">3</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Flint moved to strike the abusive litigation complaint under </w:t>
      </w:r>
      <w:hyperlink r:id="rId18" w:history="1">
        <w:r>
          <w:rPr>
            <w:rFonts w:ascii="arial" w:eastAsia="arial" w:hAnsi="arial" w:cs="arial"/>
            <w:b w:val="0"/>
            <w:i/>
            <w:strike w:val="0"/>
            <w:noProof w:val="0"/>
            <w:color w:val="0077CC"/>
            <w:position w:val="0"/>
            <w:sz w:val="20"/>
            <w:u w:val="single"/>
            <w:shd w:val="clear" w:color="auto" w:fill="FFFFFF"/>
            <w:vertAlign w:val="baseline"/>
          </w:rPr>
          <w:t>OCGA § 9-11-11.1</w:t>
        </w:r>
      </w:hyperlink>
      <w:r>
        <w:rPr>
          <w:rFonts w:ascii="arial" w:eastAsia="arial" w:hAnsi="arial" w:cs="arial"/>
          <w:b w:val="0"/>
          <w:i w:val="0"/>
          <w:strike w:val="0"/>
          <w:noProof w:val="0"/>
          <w:color w:val="000000"/>
          <w:position w:val="0"/>
          <w:sz w:val="20"/>
          <w:u w:val="none"/>
          <w:vertAlign w:val="baseline"/>
        </w:rPr>
        <w:t>, arguing that he had engaged in protected activity by filing the second appeal and motion to set aside the verdict, and</w:t>
      </w:r>
      <w:r>
        <w:rPr>
          <w:rFonts w:ascii="arial" w:eastAsia="arial" w:hAnsi="arial" w:cs="arial"/>
          <w:b w:val="0"/>
          <w:i w:val="0"/>
          <w:strike w:val="0"/>
          <w:noProof w:val="0"/>
          <w:color w:val="000000"/>
          <w:position w:val="0"/>
          <w:sz w:val="20"/>
          <w:u w:val="none"/>
          <w:vertAlign w:val="baseline"/>
        </w:rPr>
        <w:t> [*452] </w:t>
      </w:r>
      <w:r>
        <w:rPr>
          <w:rFonts w:ascii="arial" w:eastAsia="arial" w:hAnsi="arial" w:cs="arial"/>
          <w:b w:val="0"/>
          <w:i w:val="0"/>
          <w:strike w:val="0"/>
          <w:noProof w:val="0"/>
          <w:color w:val="000000"/>
          <w:position w:val="0"/>
          <w:sz w:val="20"/>
          <w:u w:val="none"/>
          <w:vertAlign w:val="baseline"/>
        </w:rPr>
        <w:t xml:space="preserve"> that Trabue could not prevail on his claim because the abusive litigation suit was time-barred. </w:t>
      </w:r>
      <w:bookmarkStart w:id="26" w:name="Bookmark_I08HC7MF800003MK8G60098D"/>
      <w:bookmarkEnd w:id="26"/>
      <w:r>
        <w:rPr>
          <w:rFonts w:ascii="arial" w:eastAsia="arial" w:hAnsi="arial" w:cs="arial"/>
          <w:b w:val="0"/>
          <w:i w:val="0"/>
          <w:strike w:val="0"/>
          <w:noProof w:val="0"/>
          <w:color w:val="000000"/>
          <w:position w:val="0"/>
          <w:sz w:val="20"/>
          <w:u w:val="none"/>
          <w:vertAlign w:val="baseline"/>
        </w:rPr>
        <w:t xml:space="preserve">He also requested attorney fees under </w:t>
      </w:r>
      <w:hyperlink r:id="rId19" w:history="1">
        <w:r>
          <w:rPr>
            <w:rFonts w:ascii="arial" w:eastAsia="arial" w:hAnsi="arial" w:cs="arial"/>
            <w:b w:val="0"/>
            <w:i/>
            <w:strike w:val="0"/>
            <w:noProof w:val="0"/>
            <w:color w:val="0077CC"/>
            <w:position w:val="0"/>
            <w:sz w:val="20"/>
            <w:u w:val="single"/>
            <w:shd w:val="clear" w:color="auto" w:fill="FFFFFF"/>
            <w:vertAlign w:val="baseline"/>
          </w:rPr>
          <w:t>OCGA § 9-11-11.1(b.1)</w:t>
        </w:r>
      </w:hyperlink>
      <w:r>
        <w:rPr>
          <w:rFonts w:ascii="arial" w:eastAsia="arial" w:hAnsi="arial" w:cs="arial"/>
          <w:b w:val="0"/>
          <w:i w:val="0"/>
          <w:strike w:val="0"/>
          <w:noProof w:val="0"/>
          <w:color w:val="000000"/>
          <w:position w:val="0"/>
          <w:sz w:val="20"/>
          <w:u w:val="none"/>
          <w:vertAlign w:val="baseline"/>
        </w:rPr>
        <w:t xml:space="preserve">. The following day, Trabue voluntarily dismissed the complaint without prejudice because it was premature, as the underlying medical malpractice litigation that triggered the abusive litigation suit remained pending. See </w:t>
      </w:r>
      <w:bookmarkStart w:id="27" w:name="Bookmark_I08HC7MF800003MK8G60098C"/>
      <w:bookmarkEnd w:id="27"/>
      <w:hyperlink r:id="rId20" w:history="1">
        <w:r>
          <w:rPr>
            <w:rFonts w:ascii="arial" w:eastAsia="arial" w:hAnsi="arial" w:cs="arial"/>
            <w:b w:val="0"/>
            <w:i/>
            <w:strike w:val="0"/>
            <w:noProof w:val="0"/>
            <w:color w:val="0077CC"/>
            <w:position w:val="0"/>
            <w:sz w:val="20"/>
            <w:u w:val="single"/>
            <w:shd w:val="clear" w:color="auto" w:fill="FFFFFF"/>
            <w:vertAlign w:val="baseline"/>
          </w:rPr>
          <w:t>Hallman v. Emory Univ.</w:t>
        </w:r>
      </w:hyperlink>
      <w:hyperlink r:id="rId21" w:history="1">
        <w:r>
          <w:rPr>
            <w:rFonts w:ascii="arial" w:eastAsia="arial" w:hAnsi="arial" w:cs="arial"/>
            <w:b w:val="0"/>
            <w:i/>
            <w:strike w:val="0"/>
            <w:noProof w:val="0"/>
            <w:color w:val="0077CC"/>
            <w:position w:val="0"/>
            <w:sz w:val="20"/>
            <w:u w:val="single"/>
            <w:shd w:val="clear" w:color="auto" w:fill="FFFFFF"/>
            <w:vertAlign w:val="baseline"/>
          </w:rPr>
          <w:t>, 225 Ga. App. 247, 250(1) (483 SE2d 362) (1997)</w:t>
        </w:r>
      </w:hyperlink>
      <w:r>
        <w:rPr>
          <w:rFonts w:ascii="arial" w:eastAsia="arial" w:hAnsi="arial" w:cs="arial"/>
          <w:b w:val="0"/>
          <w:i w:val="0"/>
          <w:strike w:val="0"/>
          <w:noProof w:val="0"/>
          <w:color w:val="000000"/>
          <w:position w:val="0"/>
          <w:sz w:val="20"/>
          <w:u w:val="none"/>
          <w:vertAlign w:val="baseline"/>
        </w:rPr>
        <w:t xml:space="preserve"> (physical precedent only) (“As an essential condition precedent</w:t>
      </w:r>
      <w:r>
        <w:rPr>
          <w:rFonts w:ascii="arial" w:eastAsia="arial" w:hAnsi="arial" w:cs="arial"/>
          <w:b w:val="0"/>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to having a cause of action under [the </w:t>
      </w:r>
      <w:hyperlink r:id="rId22" w:history="1">
        <w:r>
          <w:rPr>
            <w:rFonts w:ascii="arial" w:eastAsia="arial" w:hAnsi="arial" w:cs="arial"/>
            <w:b w:val="0"/>
            <w:i/>
            <w:strike w:val="0"/>
            <w:noProof w:val="0"/>
            <w:color w:val="0077CC"/>
            <w:position w:val="0"/>
            <w:sz w:val="20"/>
            <w:u w:val="single"/>
            <w:shd w:val="clear" w:color="auto" w:fill="FFFFFF"/>
            <w:vertAlign w:val="baseline"/>
          </w:rPr>
          <w:t>abusive litigation statute</w:t>
        </w:r>
      </w:hyperlink>
      <w:r>
        <w:rPr>
          <w:rFonts w:ascii="arial" w:eastAsia="arial" w:hAnsi="arial" w:cs="arial"/>
          <w:b w:val="0"/>
          <w:i w:val="0"/>
          <w:strike w:val="0"/>
          <w:noProof w:val="0"/>
          <w:color w:val="000000"/>
          <w:position w:val="0"/>
          <w:sz w:val="20"/>
          <w:u w:val="none"/>
          <w:vertAlign w:val="baseline"/>
        </w:rPr>
        <w:t xml:space="preserve">], there must be a ‘final termination of the proceeding[.]’”); see also </w:t>
      </w:r>
      <w:hyperlink r:id="rId23" w:history="1">
        <w:r>
          <w:rPr>
            <w:rFonts w:ascii="arial" w:eastAsia="arial" w:hAnsi="arial" w:cs="arial"/>
            <w:b w:val="0"/>
            <w:i/>
            <w:strike w:val="0"/>
            <w:noProof w:val="0"/>
            <w:color w:val="0077CC"/>
            <w:position w:val="0"/>
            <w:sz w:val="20"/>
            <w:u w:val="single"/>
            <w:shd w:val="clear" w:color="auto" w:fill="FFFFFF"/>
            <w:vertAlign w:val="baseline"/>
          </w:rPr>
          <w:t>OCGA § 51-7-84(b)</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Thereafter, Flint renewed his motion for attorney fees, arguing that the voluntary dismissal of the abusive litigation complaint did not bar an award of fees under </w:t>
      </w:r>
      <w:hyperlink r:id="rId24" w:history="1">
        <w:r>
          <w:rPr>
            <w:rFonts w:ascii="arial" w:eastAsia="arial" w:hAnsi="arial" w:cs="arial"/>
            <w:b w:val="0"/>
            <w:i/>
            <w:strike w:val="0"/>
            <w:noProof w:val="0"/>
            <w:color w:val="0077CC"/>
            <w:position w:val="0"/>
            <w:sz w:val="20"/>
            <w:u w:val="single"/>
            <w:shd w:val="clear" w:color="auto" w:fill="FFFFFF"/>
            <w:vertAlign w:val="baseline"/>
          </w:rPr>
          <w:t>OCGA § 9-11-11.1</w:t>
        </w:r>
      </w:hyperlink>
      <w:r>
        <w:rPr>
          <w:rFonts w:ascii="arial" w:eastAsia="arial" w:hAnsi="arial" w:cs="arial"/>
          <w:b w:val="0"/>
          <w:i w:val="0"/>
          <w:strike w:val="0"/>
          <w:noProof w:val="0"/>
          <w:color w:val="000000"/>
          <w:position w:val="0"/>
          <w:sz w:val="20"/>
          <w:u w:val="none"/>
          <w:vertAlign w:val="baseline"/>
        </w:rPr>
        <w:t xml:space="preserve"> even if his motion to strike was then moot. Hanson separately moved for attorney fees under </w:t>
      </w:r>
      <w:hyperlink r:id="rId25" w:history="1">
        <w:r>
          <w:rPr>
            <w:rFonts w:ascii="arial" w:eastAsia="arial" w:hAnsi="arial" w:cs="arial"/>
            <w:b w:val="0"/>
            <w:i/>
            <w:strike w:val="0"/>
            <w:noProof w:val="0"/>
            <w:color w:val="0077CC"/>
            <w:position w:val="0"/>
            <w:sz w:val="20"/>
            <w:u w:val="single"/>
            <w:shd w:val="clear" w:color="auto" w:fill="FFFFFF"/>
            <w:vertAlign w:val="baseline"/>
          </w:rPr>
          <w:t>OCGA § 9-15-14</w:t>
        </w:r>
      </w:hyperlink>
      <w:r>
        <w:rPr>
          <w:rFonts w:ascii="arial" w:eastAsia="arial" w:hAnsi="arial" w:cs="arial"/>
          <w:b w:val="0"/>
          <w:i w:val="0"/>
          <w:strike w:val="0"/>
          <w:noProof w:val="0"/>
          <w:color w:val="000000"/>
          <w:position w:val="0"/>
          <w:sz w:val="20"/>
          <w:u w:val="none"/>
          <w:vertAlign w:val="baseline"/>
        </w:rPr>
        <w:t>, asserting that counsel in the underlying action told him that they filed suit to put pressure on one of the insurance companies to settle. In response, Trabue argued that Flint and Hanson were not entitled to fees because neither one was a “prevailing party” under the fee statutes, and Hanson had not submitted any evidence of his fees. Flint then submitted invoices of his fees, and Hanson submitted an affidavit regarding his hourly rate and the number of hours involved.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e-mail, the trial court informed the parties that it intended to award fees to Flint and Hanson. Following a hearing, at which both Flint and Hanson testified to their hours and fees, the trial court awarded Flint $43,092.72, finding the award was mandatory because Flint was the “prevailing party.” The trial court also awarded</w:t>
      </w:r>
      <w:r>
        <w:rPr>
          <w:rFonts w:ascii="arial" w:eastAsia="arial" w:hAnsi="arial" w:cs="arial"/>
          <w:b w:val="0"/>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Hanson a total of $66,000 in fees under </w:t>
      </w:r>
      <w:hyperlink r:id="rId26" w:history="1">
        <w:r>
          <w:rPr>
            <w:rFonts w:ascii="arial" w:eastAsia="arial" w:hAnsi="arial" w:cs="arial"/>
            <w:b w:val="0"/>
            <w:i/>
            <w:strike w:val="0"/>
            <w:noProof w:val="0"/>
            <w:color w:val="0077CC"/>
            <w:position w:val="0"/>
            <w:sz w:val="20"/>
            <w:u w:val="single"/>
            <w:shd w:val="clear" w:color="auto" w:fill="FFFFFF"/>
            <w:vertAlign w:val="baseline"/>
          </w:rPr>
          <w:t>OCGA § 9-15-14(a)</w:t>
        </w:r>
      </w:hyperlink>
      <w:r>
        <w:rPr>
          <w:rFonts w:ascii="arial" w:eastAsia="arial" w:hAnsi="arial" w:cs="arial"/>
          <w:b w:val="0"/>
          <w:i w:val="0"/>
          <w:strike w:val="0"/>
          <w:noProof w:val="0"/>
          <w:color w:val="000000"/>
          <w:position w:val="0"/>
          <w:sz w:val="20"/>
          <w:u w:val="none"/>
          <w:vertAlign w:val="baseline"/>
        </w:rPr>
        <w:t xml:space="preserve"> and </w:t>
      </w:r>
      <w:hyperlink r:id="rId27" w:history="1">
        <w:r>
          <w:rPr>
            <w:rFonts w:ascii="arial" w:eastAsia="arial" w:hAnsi="arial" w:cs="arial"/>
            <w:b w:val="0"/>
            <w:i/>
            <w:strike w:val="0"/>
            <w:noProof w:val="0"/>
            <w:color w:val="0077CC"/>
            <w:position w:val="0"/>
            <w:sz w:val="20"/>
            <w:u w:val="single"/>
            <w:shd w:val="clear" w:color="auto" w:fill="FFFFFF"/>
            <w:vertAlign w:val="baseline"/>
          </w:rPr>
          <w:t>(b)</w:t>
        </w:r>
      </w:hyperlink>
      <w:r>
        <w:rPr>
          <w:rFonts w:ascii="arial" w:eastAsia="arial" w:hAnsi="arial" w:cs="arial"/>
          <w:b w:val="0"/>
          <w:i w:val="0"/>
          <w:strike w:val="0"/>
          <w:noProof w:val="0"/>
          <w:color w:val="000000"/>
          <w:position w:val="0"/>
          <w:sz w:val="20"/>
          <w:u w:val="none"/>
          <w:vertAlign w:val="baseline"/>
        </w:rPr>
        <w:t xml:space="preserve"> because there was no dispute that the abusive litigation suit was untimely, and the suit was filed with the intent to harass the </w:t>
      </w:r>
      <w:r>
        <w:rPr>
          <w:rFonts w:ascii="arial" w:eastAsia="arial" w:hAnsi="arial" w:cs="arial"/>
          <w:b w:val="0"/>
          <w:i w:val="0"/>
          <w:strike w:val="0"/>
          <w:noProof w:val="0"/>
          <w:color w:val="000000"/>
          <w:position w:val="0"/>
          <w:sz w:val="20"/>
          <w:u w:val="none"/>
          <w:vertAlign w:val="baseline"/>
        </w:rPr>
        <w:t> [**688] </w:t>
      </w:r>
      <w:r>
        <w:rPr>
          <w:rFonts w:ascii="arial" w:eastAsia="arial" w:hAnsi="arial" w:cs="arial"/>
          <w:b w:val="0"/>
          <w:i w:val="0"/>
          <w:strike w:val="0"/>
          <w:noProof w:val="0"/>
          <w:color w:val="000000"/>
          <w:position w:val="0"/>
          <w:sz w:val="20"/>
          <w:u w:val="none"/>
          <w:vertAlign w:val="baseline"/>
        </w:rPr>
        <w:t xml:space="preserve"> attorneys and coerce a settlement. Trabue now appeals from both awards.</w:t>
      </w:r>
    </w:p>
    <w:p>
      <w:pPr>
        <w:keepNext w:val="0"/>
        <w:spacing w:before="240" w:after="0" w:line="260" w:lineRule="atLeast"/>
        <w:ind w:left="0" w:right="0" w:firstLine="0"/>
        <w:jc w:val="both"/>
      </w:pPr>
      <w:bookmarkStart w:id="28" w:name="Bookmark_I08HC7MF800003MK8G60098G"/>
      <w:bookmarkEnd w:id="28"/>
      <w:bookmarkStart w:id="29" w:name="Bookmark_LNHNREFclscc1"/>
      <w:bookmarkEnd w:id="29"/>
      <w:r>
        <w:rPr>
          <w:rFonts w:ascii="arial" w:eastAsia="arial" w:hAnsi="arial" w:cs="arial"/>
          <w:b w:val="0"/>
          <w:i w:val="0"/>
          <w:strike w:val="0"/>
          <w:noProof w:val="0"/>
          <w:color w:val="000000"/>
          <w:position w:val="0"/>
          <w:sz w:val="20"/>
          <w:u w:val="none"/>
          <w:vertAlign w:val="baseline"/>
        </w:rPr>
        <w:t xml:space="preserve">“As a general rule, Georgia law does not provide for the award of attorney fees even to a prevailing party unless authorized by statute or by contract. When awarded by statute, such fees may be obtained only pursuant to the statute under which the action was brought and decided.” </w:t>
      </w:r>
      <w:bookmarkStart w:id="30" w:name="Bookmark_I08HC7MF800003MK8G60098F"/>
      <w:bookmarkEnd w:id="30"/>
      <w:hyperlink r:id="rId28" w:history="1">
        <w:r>
          <w:rPr>
            <w:rFonts w:ascii="arial" w:eastAsia="arial" w:hAnsi="arial" w:cs="arial"/>
            <w:b w:val="0"/>
            <w:i/>
            <w:strike w:val="0"/>
            <w:noProof w:val="0"/>
            <w:color w:val="0077CC"/>
            <w:position w:val="0"/>
            <w:sz w:val="20"/>
            <w:u w:val="single"/>
            <w:shd w:val="clear" w:color="auto" w:fill="FFFFFF"/>
            <w:vertAlign w:val="baseline"/>
          </w:rPr>
          <w:t>Suarez v. Halbert</w:t>
        </w:r>
      </w:hyperlink>
      <w:hyperlink r:id="rId29" w:history="1">
        <w:r>
          <w:rPr>
            <w:rFonts w:ascii="arial" w:eastAsia="arial" w:hAnsi="arial" w:cs="arial"/>
            <w:b w:val="0"/>
            <w:i/>
            <w:strike w:val="0"/>
            <w:noProof w:val="0"/>
            <w:color w:val="0077CC"/>
            <w:position w:val="0"/>
            <w:sz w:val="20"/>
            <w:u w:val="single"/>
            <w:shd w:val="clear" w:color="auto" w:fill="FFFFFF"/>
            <w:vertAlign w:val="baseline"/>
          </w:rPr>
          <w:t>, 246 Ga. App. 822, 824(1) (543 SE2d 733) (2000)</w:t>
        </w:r>
      </w:hyperlink>
      <w:r>
        <w:rPr>
          <w:rFonts w:ascii="arial" w:eastAsia="arial" w:hAnsi="arial" w:cs="arial"/>
          <w:b w:val="0"/>
          <w:i w:val="0"/>
          <w:strike w:val="0"/>
          <w:noProof w:val="0"/>
          <w:color w:val="000000"/>
          <w:position w:val="0"/>
          <w:sz w:val="20"/>
          <w:u w:val="none"/>
          <w:vertAlign w:val="baseline"/>
        </w:rPr>
        <w:t xml:space="preserve"> (citation omitted.); see also </w:t>
      </w:r>
      <w:bookmarkStart w:id="31" w:name="Bookmark_I08HC7MF800003MK8G60098H"/>
      <w:bookmarkEnd w:id="31"/>
      <w:hyperlink r:id="rId30" w:history="1">
        <w:r>
          <w:rPr>
            <w:rFonts w:ascii="arial" w:eastAsia="arial" w:hAnsi="arial" w:cs="arial"/>
            <w:b w:val="0"/>
            <w:i/>
            <w:strike w:val="0"/>
            <w:noProof w:val="0"/>
            <w:color w:val="0077CC"/>
            <w:position w:val="0"/>
            <w:sz w:val="20"/>
            <w:u w:val="single"/>
            <w:shd w:val="clear" w:color="auto" w:fill="FFFFFF"/>
            <w:vertAlign w:val="baseline"/>
          </w:rPr>
          <w:t>Azizan v. Hajianbarzi</w:t>
        </w:r>
      </w:hyperlink>
      <w:hyperlink r:id="rId31" w:history="1">
        <w:r>
          <w:rPr>
            <w:rFonts w:ascii="arial" w:eastAsia="arial" w:hAnsi="arial" w:cs="arial"/>
            <w:b w:val="0"/>
            <w:i/>
            <w:strike w:val="0"/>
            <w:noProof w:val="0"/>
            <w:color w:val="0077CC"/>
            <w:position w:val="0"/>
            <w:sz w:val="20"/>
            <w:u w:val="single"/>
            <w:shd w:val="clear" w:color="auto" w:fill="FFFFFF"/>
            <w:vertAlign w:val="baseline"/>
          </w:rPr>
          <w:t>, 372 Ga. App. 396, 399(2) (903 SE2d 677) (2024)</w:t>
        </w:r>
      </w:hyperlink>
      <w:r>
        <w:rPr>
          <w:rFonts w:ascii="arial" w:eastAsia="arial" w:hAnsi="arial" w:cs="arial"/>
          <w:b w:val="0"/>
          <w:i w:val="0"/>
          <w:strike w:val="0"/>
          <w:noProof w:val="0"/>
          <w:color w:val="000000"/>
          <w:position w:val="0"/>
          <w:sz w:val="20"/>
          <w:u w:val="none"/>
          <w:vertAlign w:val="baseline"/>
        </w:rPr>
        <w:t xml:space="preserve">. Here, we consider whether attorney fees were authorized by </w:t>
      </w:r>
      <w:hyperlink r:id="rId32" w:history="1">
        <w:r>
          <w:rPr>
            <w:rFonts w:ascii="arial" w:eastAsia="arial" w:hAnsi="arial" w:cs="arial"/>
            <w:b w:val="0"/>
            <w:i/>
            <w:strike w:val="0"/>
            <w:noProof w:val="0"/>
            <w:color w:val="0077CC"/>
            <w:position w:val="0"/>
            <w:sz w:val="20"/>
            <w:u w:val="single"/>
            <w:shd w:val="clear" w:color="auto" w:fill="FFFFFF"/>
            <w:vertAlign w:val="baseline"/>
          </w:rPr>
          <w:t>OCGA §§ 9-11-11.1(b.1)</w:t>
        </w:r>
      </w:hyperlink>
      <w:r>
        <w:rPr>
          <w:rFonts w:ascii="arial" w:eastAsia="arial" w:hAnsi="arial" w:cs="arial"/>
          <w:b w:val="0"/>
          <w:i w:val="0"/>
          <w:strike w:val="0"/>
          <w:noProof w:val="0"/>
          <w:color w:val="000000"/>
          <w:position w:val="0"/>
          <w:sz w:val="20"/>
          <w:u w:val="none"/>
          <w:vertAlign w:val="baseline"/>
        </w:rPr>
        <w:t xml:space="preserve"> and </w:t>
      </w:r>
      <w:hyperlink r:id="rId33" w:history="1">
        <w:r>
          <w:rPr>
            <w:rFonts w:ascii="arial" w:eastAsia="arial" w:hAnsi="arial" w:cs="arial"/>
            <w:b w:val="0"/>
            <w:i/>
            <w:strike w:val="0"/>
            <w:noProof w:val="0"/>
            <w:color w:val="0077CC"/>
            <w:position w:val="0"/>
            <w:sz w:val="20"/>
            <w:u w:val="single"/>
            <w:shd w:val="clear" w:color="auto" w:fill="FFFFFF"/>
            <w:vertAlign w:val="baseline"/>
          </w:rPr>
          <w:t>9-15-14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 </w:t>
      </w:r>
      <w:hyperlink r:id="rId34" w:history="1">
        <w:r>
          <w:rPr>
            <w:rFonts w:ascii="arial" w:eastAsia="arial" w:hAnsi="arial" w:cs="arial"/>
            <w:b w:val="0"/>
            <w:i/>
            <w:strike w:val="0"/>
            <w:noProof w:val="0"/>
            <w:color w:val="0077CC"/>
            <w:position w:val="0"/>
            <w:sz w:val="20"/>
            <w:u w:val="single"/>
            <w:shd w:val="clear" w:color="auto" w:fill="FFFFFF"/>
            <w:vertAlign w:val="baseline"/>
          </w:rPr>
          <w:t>OCGA § 9-11-11.1(b.1)</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first consider whether Flint was entitled to fees under </w:t>
      </w:r>
      <w:hyperlink r:id="rId35" w:history="1">
        <w:r>
          <w:rPr>
            <w:rFonts w:ascii="arial" w:eastAsia="arial" w:hAnsi="arial" w:cs="arial"/>
            <w:b w:val="0"/>
            <w:i/>
            <w:strike w:val="0"/>
            <w:noProof w:val="0"/>
            <w:color w:val="0077CC"/>
            <w:position w:val="0"/>
            <w:sz w:val="20"/>
            <w:u w:val="single"/>
            <w:shd w:val="clear" w:color="auto" w:fill="FFFFFF"/>
            <w:vertAlign w:val="baseline"/>
          </w:rPr>
          <w:t>OCGA § 9-11-11.1 (b.1)</w:t>
        </w:r>
      </w:hyperlink>
      <w:r>
        <w:rPr>
          <w:rFonts w:ascii="arial" w:eastAsia="arial" w:hAnsi="arial" w:cs="arial"/>
          <w:b w:val="0"/>
          <w:i w:val="0"/>
          <w:strike w:val="0"/>
          <w:noProof w:val="0"/>
          <w:color w:val="000000"/>
          <w:position w:val="0"/>
          <w:sz w:val="20"/>
          <w:u w:val="none"/>
          <w:vertAlign w:val="baseline"/>
        </w:rPr>
        <w:t>. Trabue argues that the award was improper</w:t>
      </w:r>
      <w:r>
        <w:rPr>
          <w:rFonts w:ascii="arial" w:eastAsia="arial" w:hAnsi="arial" w:cs="arial"/>
          <w:b w:val="0"/>
          <w:i w:val="0"/>
          <w:strike w:val="0"/>
          <w:noProof w:val="0"/>
          <w:color w:val="000000"/>
          <w:position w:val="0"/>
          <w:sz w:val="20"/>
          <w:u w:val="none"/>
          <w:vertAlign w:val="baseline"/>
        </w:rPr>
        <w:t> [*453] </w:t>
      </w:r>
      <w:r>
        <w:rPr>
          <w:rFonts w:ascii="arial" w:eastAsia="arial" w:hAnsi="arial" w:cs="arial"/>
          <w:b w:val="0"/>
          <w:i w:val="0"/>
          <w:strike w:val="0"/>
          <w:noProof w:val="0"/>
          <w:color w:val="000000"/>
          <w:position w:val="0"/>
          <w:sz w:val="20"/>
          <w:u w:val="none"/>
          <w:vertAlign w:val="baseline"/>
        </w:rPr>
        <w:t xml:space="preserve"> because the trial court made no findings as to whether the abusive litigation suit was filed prematurely or too late, which is necessary for deciding whether Flint was the “prevailing party” under the statute. According to Trabue, because the motion was not yet ripe, the trial court lacked subject matter jurisdiction. Trabue further argues that the trial court did not make a finding on the merits that the abusive litigation suit was frivolous because the suit was</w:t>
      </w:r>
      <w:r>
        <w:rPr>
          <w:rFonts w:ascii="arial" w:eastAsia="arial" w:hAnsi="arial" w:cs="arial"/>
          <w:b w:val="0"/>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dismissed without prejudice, and thus, it could not address the claim for attorney fees. We disagree.</w:t>
      </w:r>
    </w:p>
    <w:p>
      <w:pPr>
        <w:keepNext w:val="0"/>
        <w:spacing w:before="240" w:after="0" w:line="260" w:lineRule="atLeast"/>
        <w:ind w:left="400" w:right="0" w:firstLine="240"/>
        <w:jc w:val="both"/>
      </w:pPr>
      <w:bookmarkStart w:id="32" w:name="Bookmark_LNHNREFclscc2"/>
      <w:bookmarkEnd w:id="32"/>
      <w:r>
        <w:rPr>
          <w:rFonts w:ascii="arial" w:eastAsia="arial" w:hAnsi="arial" w:cs="arial"/>
          <w:b w:val="0"/>
          <w:i w:val="0"/>
          <w:strike w:val="0"/>
          <w:noProof w:val="0"/>
          <w:color w:val="000000"/>
          <w:position w:val="0"/>
          <w:sz w:val="20"/>
          <w:u w:val="none"/>
          <w:vertAlign w:val="baseline"/>
        </w:rPr>
        <w:t xml:space="preserve">A SLAPP, or Strategic Lawsuit Against Public Participation, is a meritless lawsuit brought not to vindicate legally cognizable rights, but instead to deter or punish the exercise of constitutional rights of petition and free speech by tying up its target’s resources and driving up the costs of litigation. </w:t>
      </w:r>
      <w:bookmarkStart w:id="33" w:name="Bookmark_I08HC7MFDXJ003MBRM800711"/>
      <w:bookmarkEnd w:id="33"/>
      <w:r>
        <w:rPr>
          <w:rFonts w:ascii="arial" w:eastAsia="arial" w:hAnsi="arial" w:cs="arial"/>
          <w:b w:val="0"/>
          <w:i w:val="0"/>
          <w:strike w:val="0"/>
          <w:noProof w:val="0"/>
          <w:color w:val="000000"/>
          <w:position w:val="0"/>
          <w:sz w:val="20"/>
          <w:u w:val="none"/>
          <w:vertAlign w:val="baseline"/>
        </w:rPr>
        <w:t xml:space="preserve">Georgia’s </w:t>
      </w:r>
      <w:hyperlink r:id="rId36" w:history="1">
        <w:r>
          <w:rPr>
            <w:rFonts w:ascii="arial" w:eastAsia="arial" w:hAnsi="arial" w:cs="arial"/>
            <w:b w:val="0"/>
            <w:i/>
            <w:strike w:val="0"/>
            <w:noProof w:val="0"/>
            <w:color w:val="0077CC"/>
            <w:position w:val="0"/>
            <w:sz w:val="20"/>
            <w:u w:val="single"/>
            <w:shd w:val="clear" w:color="auto" w:fill="FFFFFF"/>
            <w:vertAlign w:val="baseline"/>
          </w:rPr>
          <w:t>anti-SLAPP statute</w:t>
        </w:r>
      </w:hyperlink>
      <w:r>
        <w:rPr>
          <w:rFonts w:ascii="arial" w:eastAsia="arial" w:hAnsi="arial" w:cs="arial"/>
          <w:b w:val="0"/>
          <w:i w:val="0"/>
          <w:strike w:val="0"/>
          <w:noProof w:val="0"/>
          <w:color w:val="000000"/>
          <w:position w:val="0"/>
          <w:sz w:val="20"/>
          <w:u w:val="none"/>
          <w:vertAlign w:val="baseline"/>
        </w:rPr>
        <w:t xml:space="preserve">, </w:t>
      </w:r>
      <w:hyperlink r:id="rId37" w:history="1">
        <w:r>
          <w:rPr>
            <w:rFonts w:ascii="arial" w:eastAsia="arial" w:hAnsi="arial" w:cs="arial"/>
            <w:b w:val="0"/>
            <w:i/>
            <w:strike w:val="0"/>
            <w:noProof w:val="0"/>
            <w:color w:val="0077CC"/>
            <w:position w:val="0"/>
            <w:sz w:val="20"/>
            <w:u w:val="single"/>
            <w:shd w:val="clear" w:color="auto" w:fill="FFFFFF"/>
            <w:vertAlign w:val="baseline"/>
          </w:rPr>
          <w:t>OCGA § 9-11-11.1</w:t>
        </w:r>
      </w:hyperlink>
      <w:r>
        <w:rPr>
          <w:rFonts w:ascii="arial" w:eastAsia="arial" w:hAnsi="arial" w:cs="arial"/>
          <w:b w:val="0"/>
          <w:i w:val="0"/>
          <w:strike w:val="0"/>
          <w:noProof w:val="0"/>
          <w:color w:val="000000"/>
          <w:position w:val="0"/>
          <w:sz w:val="20"/>
          <w:u w:val="none"/>
          <w:vertAlign w:val="baseline"/>
        </w:rPr>
        <w:t>, allows a defendant to move to strike or dismiss such a frivolous action as an avenue for ending the suit quickly, summarily, and at minimal expense. The purpose of the statute is to encourage participation by the citizens of Georgia in matters of public significance and public interest through the exercise of their constitutional rights of petition and freedom of speech.</w:t>
      </w:r>
    </w:p>
    <w:p>
      <w:pPr>
        <w:keepNext w:val="0"/>
        <w:spacing w:before="240" w:after="0" w:line="260" w:lineRule="atLeast"/>
        <w:ind w:left="0" w:right="0" w:firstLine="0"/>
        <w:jc w:val="both"/>
      </w:pPr>
      <w:bookmarkStart w:id="34" w:name="Bookmark_I08HC7MFDXJ003MBRM800711_2"/>
      <w:bookmarkEnd w:id="34"/>
      <w:bookmarkStart w:id="35" w:name="Bookmark_I08HC7MFDXJ003MBRM800710"/>
      <w:bookmarkEnd w:id="35"/>
      <w:hyperlink r:id="rId38" w:history="1">
        <w:r>
          <w:rPr>
            <w:rFonts w:ascii="arial" w:eastAsia="arial" w:hAnsi="arial" w:cs="arial"/>
            <w:b w:val="0"/>
            <w:i/>
            <w:strike w:val="0"/>
            <w:color w:val="0077CC"/>
            <w:sz w:val="20"/>
            <w:u w:val="single"/>
            <w:shd w:val="clear" w:color="auto" w:fill="FFFFFF"/>
            <w:vertAlign w:val="baseline"/>
          </w:rPr>
          <w:t>Potts v. Richardson</w:t>
        </w:r>
      </w:hyperlink>
      <w:hyperlink r:id="rId39" w:history="1">
        <w:r>
          <w:rPr>
            <w:rFonts w:ascii="arial" w:eastAsia="arial" w:hAnsi="arial" w:cs="arial"/>
            <w:b w:val="0"/>
            <w:i/>
            <w:strike w:val="0"/>
            <w:color w:val="0077CC"/>
            <w:sz w:val="20"/>
            <w:u w:val="single"/>
            <w:shd w:val="clear" w:color="auto" w:fill="FFFFFF"/>
            <w:vertAlign w:val="baseline"/>
          </w:rPr>
          <w:t>, 376 Ga. App. 90, 93–94(1) (918 SE2d 146) (2025)</w:t>
        </w:r>
      </w:hyperlink>
      <w:r>
        <w:rPr>
          <w:rFonts w:ascii="arial" w:eastAsia="arial" w:hAnsi="arial" w:cs="arial"/>
          <w:b w:val="0"/>
          <w:i w:val="0"/>
          <w:strike w:val="0"/>
          <w:noProof w:val="0"/>
          <w:color w:val="000000"/>
          <w:position w:val="0"/>
          <w:sz w:val="20"/>
          <w:u w:val="none"/>
          <w:vertAlign w:val="baseline"/>
        </w:rPr>
        <w:t xml:space="preserve"> (citations and quotation marks omitted); see also </w:t>
      </w:r>
      <w:bookmarkStart w:id="36" w:name="Bookmark_I08HC7MFDXJ003MBRM800712"/>
      <w:bookmarkEnd w:id="36"/>
      <w:hyperlink r:id="rId40" w:history="1">
        <w:r>
          <w:rPr>
            <w:rFonts w:ascii="arial" w:eastAsia="arial" w:hAnsi="arial" w:cs="arial"/>
            <w:b w:val="0"/>
            <w:i/>
            <w:strike w:val="0"/>
            <w:noProof w:val="0"/>
            <w:color w:val="0077CC"/>
            <w:position w:val="0"/>
            <w:sz w:val="20"/>
            <w:u w:val="single"/>
            <w:shd w:val="clear" w:color="auto" w:fill="FFFFFF"/>
            <w:vertAlign w:val="baseline"/>
          </w:rPr>
          <w:t>Wilkes &amp; McHugh v. LTC Consulting</w:t>
        </w:r>
      </w:hyperlink>
      <w:hyperlink r:id="rId41" w:history="1">
        <w:r>
          <w:rPr>
            <w:rFonts w:ascii="arial" w:eastAsia="arial" w:hAnsi="arial" w:cs="arial"/>
            <w:b w:val="0"/>
            <w:i/>
            <w:strike w:val="0"/>
            <w:noProof w:val="0"/>
            <w:color w:val="0077CC"/>
            <w:position w:val="0"/>
            <w:sz w:val="20"/>
            <w:u w:val="single"/>
            <w:shd w:val="clear" w:color="auto" w:fill="FFFFFF"/>
            <w:vertAlign w:val="baseline"/>
          </w:rPr>
          <w:t>, 306 Ga. 252, 257(2) (830 SE2d 119) (2019)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7" w:name="Bookmark_I08HC7MFMHY003MK8G6009SB"/>
      <w:bookmarkEnd w:id="37"/>
      <w:bookmarkStart w:id="38" w:name="Bookmark_I08HC7MFMHY003MK8G6009SD"/>
      <w:bookmarkEnd w:id="38"/>
      <w:r>
        <w:rPr>
          <w:rFonts w:ascii="arial" w:eastAsia="arial" w:hAnsi="arial" w:cs="arial"/>
          <w:b w:val="0"/>
          <w:i w:val="0"/>
          <w:strike w:val="0"/>
          <w:noProof w:val="0"/>
          <w:color w:val="000000"/>
          <w:position w:val="0"/>
          <w:sz w:val="20"/>
          <w:u w:val="none"/>
          <w:vertAlign w:val="baseline"/>
        </w:rPr>
        <w:t xml:space="preserve">As is relevant to this appeal, under </w:t>
      </w:r>
      <w:hyperlink r:id="rId42" w:history="1">
        <w:r>
          <w:rPr>
            <w:rFonts w:ascii="arial" w:eastAsia="arial" w:hAnsi="arial" w:cs="arial"/>
            <w:b w:val="0"/>
            <w:i/>
            <w:strike w:val="0"/>
            <w:noProof w:val="0"/>
            <w:color w:val="0077CC"/>
            <w:position w:val="0"/>
            <w:sz w:val="20"/>
            <w:u w:val="single"/>
            <w:shd w:val="clear" w:color="auto" w:fill="FFFFFF"/>
            <w:vertAlign w:val="baseline"/>
          </w:rPr>
          <w:t>OCGA § 9-11-11.1(b.1)</w:t>
        </w:r>
      </w:hyperlink>
      <w:r>
        <w:rPr>
          <w:rFonts w:ascii="arial" w:eastAsia="arial" w:hAnsi="arial" w:cs="arial"/>
          <w:b w:val="0"/>
          <w:i w:val="0"/>
          <w:strike w:val="0"/>
          <w:noProof w:val="0"/>
          <w:color w:val="000000"/>
          <w:position w:val="0"/>
          <w:sz w:val="20"/>
          <w:u w:val="none"/>
          <w:vertAlign w:val="baseline"/>
        </w:rPr>
        <w:t xml:space="preserve">, “a prevailing moving party on a motion to strike shall be granted the recovery of attorney’s fees and expenses of litigation related to the action in an amount to be determined by the court based on the facts and circumstances of the case.” As we have explained, “the goal of an </w:t>
      </w:r>
      <w:hyperlink r:id="rId43" w:history="1">
        <w:r>
          <w:rPr>
            <w:rFonts w:ascii="arial" w:eastAsia="arial" w:hAnsi="arial" w:cs="arial"/>
            <w:b w:val="0"/>
            <w:i/>
            <w:strike w:val="0"/>
            <w:noProof w:val="0"/>
            <w:color w:val="0077CC"/>
            <w:position w:val="0"/>
            <w:sz w:val="20"/>
            <w:u w:val="single"/>
            <w:shd w:val="clear" w:color="auto" w:fill="FFFFFF"/>
            <w:vertAlign w:val="baseline"/>
          </w:rPr>
          <w:t>anti-SLAPP statute</w:t>
        </w:r>
      </w:hyperlink>
      <w:r>
        <w:rPr>
          <w:rFonts w:ascii="arial" w:eastAsia="arial" w:hAnsi="arial" w:cs="arial"/>
          <w:b w:val="0"/>
          <w:i w:val="0"/>
          <w:strike w:val="0"/>
          <w:noProof w:val="0"/>
          <w:color w:val="000000"/>
          <w:position w:val="0"/>
          <w:sz w:val="20"/>
          <w:u w:val="none"/>
          <w:vertAlign w:val="baseline"/>
        </w:rPr>
        <w:t xml:space="preserve"> is</w:t>
      </w:r>
      <w:r>
        <w:rPr>
          <w:rFonts w:ascii="arial" w:eastAsia="arial" w:hAnsi="arial" w:cs="arial"/>
          <w:b w:val="0"/>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to end a SLAPP lawsuit quickly and without much cost to the defendant[.]” </w:t>
      </w:r>
      <w:bookmarkStart w:id="39" w:name="Bookmark_I08HC7MFMHY003MK8G6009S9"/>
      <w:bookmarkEnd w:id="39"/>
      <w:hyperlink r:id="rId44" w:history="1">
        <w:r>
          <w:rPr>
            <w:rFonts w:ascii="arial" w:eastAsia="arial" w:hAnsi="arial" w:cs="arial"/>
            <w:b w:val="0"/>
            <w:i/>
            <w:strike w:val="0"/>
            <w:noProof w:val="0"/>
            <w:color w:val="0077CC"/>
            <w:position w:val="0"/>
            <w:sz w:val="20"/>
            <w:u w:val="single"/>
            <w:shd w:val="clear" w:color="auto" w:fill="FFFFFF"/>
            <w:vertAlign w:val="baseline"/>
          </w:rPr>
          <w:t>Rogers v. Dupree</w:t>
        </w:r>
      </w:hyperlink>
      <w:hyperlink r:id="rId45" w:history="1">
        <w:r>
          <w:rPr>
            <w:rFonts w:ascii="arial" w:eastAsia="arial" w:hAnsi="arial" w:cs="arial"/>
            <w:b w:val="0"/>
            <w:i/>
            <w:strike w:val="0"/>
            <w:noProof w:val="0"/>
            <w:color w:val="0077CC"/>
            <w:position w:val="0"/>
            <w:sz w:val="20"/>
            <w:u w:val="single"/>
            <w:shd w:val="clear" w:color="auto" w:fill="FFFFFF"/>
            <w:vertAlign w:val="baseline"/>
          </w:rPr>
          <w:t>, 340 Ga. App. 811, 815(2) (799 SE2d 1) (2017)</w:t>
        </w:r>
      </w:hyperlink>
      <w:r>
        <w:rPr>
          <w:rFonts w:ascii="arial" w:eastAsia="arial" w:hAnsi="arial" w:cs="arial"/>
          <w:b w:val="0"/>
          <w:i w:val="0"/>
          <w:strike w:val="0"/>
          <w:noProof w:val="0"/>
          <w:color w:val="000000"/>
          <w:position w:val="0"/>
          <w:sz w:val="20"/>
          <w:u w:val="none"/>
          <w:vertAlign w:val="baseline"/>
        </w:rPr>
        <w:t xml:space="preserve">. </w:t>
      </w:r>
      <w:bookmarkStart w:id="40" w:name="Bookmark_LNHNREFclscc3"/>
      <w:bookmarkEnd w:id="40"/>
      <w:r>
        <w:rPr>
          <w:rFonts w:ascii="arial" w:eastAsia="arial" w:hAnsi="arial" w:cs="arial"/>
          <w:b w:val="0"/>
          <w:i w:val="0"/>
          <w:strike w:val="0"/>
          <w:noProof w:val="0"/>
          <w:color w:val="000000"/>
          <w:position w:val="0"/>
          <w:sz w:val="20"/>
          <w:u w:val="none"/>
          <w:vertAlign w:val="baseline"/>
        </w:rPr>
        <w:t xml:space="preserve">Importantly, an award of fees is mandatory where the moving party prevails on its motion to strike. </w:t>
      </w:r>
      <w:hyperlink r:id="rId46" w:history="1">
        <w:r>
          <w:rPr>
            <w:rFonts w:ascii="arial" w:eastAsia="arial" w:hAnsi="arial" w:cs="arial"/>
            <w:b w:val="0"/>
            <w:i/>
            <w:strike w:val="0"/>
            <w:noProof w:val="0"/>
            <w:color w:val="0077CC"/>
            <w:position w:val="0"/>
            <w:sz w:val="20"/>
            <w:u w:val="single"/>
            <w:shd w:val="clear" w:color="auto" w:fill="FFFFFF"/>
            <w:vertAlign w:val="baseline"/>
          </w:rPr>
          <w:t>OCGA § 9-11-11.1(b.1)</w:t>
        </w:r>
      </w:hyperlink>
      <w:r>
        <w:rPr>
          <w:rFonts w:ascii="arial" w:eastAsia="arial" w:hAnsi="arial" w:cs="arial"/>
          <w:b w:val="0"/>
          <w:i w:val="0"/>
          <w:strike w:val="0"/>
          <w:noProof w:val="0"/>
          <w:color w:val="000000"/>
          <w:position w:val="0"/>
          <w:sz w:val="20"/>
          <w:u w:val="none"/>
          <w:vertAlign w:val="baseline"/>
        </w:rPr>
        <w:t xml:space="preserve">; see also </w:t>
      </w:r>
      <w:bookmarkStart w:id="41" w:name="Bookmark_I08HC7MFMHY003MK8G6009SC"/>
      <w:bookmarkEnd w:id="41"/>
      <w:hyperlink r:id="rId47" w:history="1">
        <w:r>
          <w:rPr>
            <w:rFonts w:ascii="arial" w:eastAsia="arial" w:hAnsi="arial" w:cs="arial"/>
            <w:b w:val="0"/>
            <w:i/>
            <w:strike w:val="0"/>
            <w:noProof w:val="0"/>
            <w:color w:val="0077CC"/>
            <w:position w:val="0"/>
            <w:sz w:val="20"/>
            <w:u w:val="single"/>
            <w:shd w:val="clear" w:color="auto" w:fill="FFFFFF"/>
            <w:vertAlign w:val="baseline"/>
          </w:rPr>
          <w:t>PNC Fin. Servs. Group v. Gibson</w:t>
        </w:r>
      </w:hyperlink>
      <w:hyperlink r:id="rId48" w:history="1">
        <w:r>
          <w:rPr>
            <w:rFonts w:ascii="arial" w:eastAsia="arial" w:hAnsi="arial" w:cs="arial"/>
            <w:b w:val="0"/>
            <w:i/>
            <w:strike w:val="0"/>
            <w:noProof w:val="0"/>
            <w:color w:val="0077CC"/>
            <w:position w:val="0"/>
            <w:sz w:val="20"/>
            <w:u w:val="single"/>
            <w:shd w:val="clear" w:color="auto" w:fill="FFFFFF"/>
            <w:vertAlign w:val="baseline"/>
          </w:rPr>
          <w:t>, 371 Ga. App. 660, 666(2)(b)(ii) (901 SE2d 331) (2024)</w:t>
        </w:r>
      </w:hyperlink>
      <w:r>
        <w:rPr>
          <w:rFonts w:ascii="arial" w:eastAsia="arial" w:hAnsi="arial" w:cs="arial"/>
          <w:b w:val="0"/>
          <w:i w:val="0"/>
          <w:strike w:val="0"/>
          <w:noProof w:val="0"/>
          <w:color w:val="000000"/>
          <w:position w:val="0"/>
          <w:sz w:val="20"/>
          <w:u w:val="none"/>
          <w:vertAlign w:val="baseline"/>
        </w:rPr>
        <w:t xml:space="preserve"> (“It can scarcely be doubted that by the use of the word ‘shall’ a legislative mandate, and not a mere permission, was imported into the enforcement provisions of the </w:t>
      </w:r>
      <w:hyperlink r:id="rId49" w:history="1">
        <w:r>
          <w:rPr>
            <w:rFonts w:ascii="arial" w:eastAsia="arial" w:hAnsi="arial" w:cs="arial"/>
            <w:b w:val="0"/>
            <w:i/>
            <w:strike w:val="0"/>
            <w:noProof w:val="0"/>
            <w:color w:val="0077CC"/>
            <w:position w:val="0"/>
            <w:sz w:val="20"/>
            <w:u w:val="single"/>
            <w:shd w:val="clear" w:color="auto" w:fill="FFFFFF"/>
            <w:vertAlign w:val="baseline"/>
          </w:rPr>
          <w:t>Act</w:t>
        </w:r>
      </w:hyperlink>
      <w:r>
        <w:rPr>
          <w:rFonts w:ascii="arial" w:eastAsia="arial" w:hAnsi="arial" w:cs="arial"/>
          <w:b w:val="0"/>
          <w:i w:val="0"/>
          <w:strike w:val="0"/>
          <w:noProof w:val="0"/>
          <w:color w:val="000000"/>
          <w:position w:val="0"/>
          <w:sz w:val="20"/>
          <w:u w:val="none"/>
          <w:vertAlign w:val="baseline"/>
        </w:rPr>
        <w:t>[.]” (quotation marks omitted)).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the trial court found that an award of fees was warranted under </w:t>
      </w:r>
      <w:hyperlink r:id="rId50" w:history="1">
        <w:r>
          <w:rPr>
            <w:rFonts w:ascii="arial" w:eastAsia="arial" w:hAnsi="arial" w:cs="arial"/>
            <w:b w:val="0"/>
            <w:i/>
            <w:strike w:val="0"/>
            <w:noProof w:val="0"/>
            <w:color w:val="0077CC"/>
            <w:position w:val="0"/>
            <w:sz w:val="20"/>
            <w:u w:val="single"/>
            <w:shd w:val="clear" w:color="auto" w:fill="FFFFFF"/>
            <w:vertAlign w:val="baseline"/>
          </w:rPr>
          <w:t>OCGA § 9-11-11.1</w:t>
        </w:r>
      </w:hyperlink>
      <w:r>
        <w:rPr>
          <w:rFonts w:ascii="arial" w:eastAsia="arial" w:hAnsi="arial" w:cs="arial"/>
          <w:b w:val="0"/>
          <w:i w:val="0"/>
          <w:strike w:val="0"/>
          <w:noProof w:val="0"/>
          <w:color w:val="000000"/>
          <w:position w:val="0"/>
          <w:sz w:val="20"/>
          <w:u w:val="none"/>
          <w:vertAlign w:val="baseline"/>
        </w:rPr>
        <w:t xml:space="preserve"> because Flint was the “prevailing moving party,” as (a) he engaged in protected conduct, and (b) Trabue could</w:t>
      </w:r>
      <w:r>
        <w:rPr>
          <w:rFonts w:ascii="arial" w:eastAsia="arial" w:hAnsi="arial" w:cs="arial"/>
          <w:b w:val="0"/>
          <w:i w:val="0"/>
          <w:strike w:val="0"/>
          <w:noProof w:val="0"/>
          <w:color w:val="000000"/>
          <w:position w:val="0"/>
          <w:sz w:val="20"/>
          <w:u w:val="none"/>
          <w:vertAlign w:val="baseline"/>
        </w:rPr>
        <w:t> [*454] </w:t>
      </w:r>
      <w:r>
        <w:rPr>
          <w:rFonts w:ascii="arial" w:eastAsia="arial" w:hAnsi="arial" w:cs="arial"/>
          <w:b w:val="0"/>
          <w:i w:val="0"/>
          <w:strike w:val="0"/>
          <w:noProof w:val="0"/>
          <w:color w:val="000000"/>
          <w:position w:val="0"/>
          <w:sz w:val="20"/>
          <w:u w:val="none"/>
          <w:vertAlign w:val="baseline"/>
        </w:rPr>
        <w:t xml:space="preserve"> not have been successful on his claims as the abusive litigation suit was “procedurally improper.”</w:t>
      </w:r>
    </w:p>
    <w:p>
      <w:pPr>
        <w:keepNext w:val="0"/>
        <w:spacing w:before="240" w:after="0" w:line="260" w:lineRule="atLeast"/>
        <w:ind w:left="0" w:right="0" w:firstLine="0"/>
        <w:jc w:val="both"/>
      </w:pPr>
      <w:bookmarkStart w:id="42" w:name="Bookmark_I08HC7MFNK7003MK8G6009T1"/>
      <w:bookmarkEnd w:id="42"/>
      <w:r>
        <w:rPr>
          <w:rFonts w:ascii="arial" w:eastAsia="arial" w:hAnsi="arial" w:cs="arial"/>
          <w:b w:val="0"/>
          <w:i w:val="0"/>
          <w:strike w:val="0"/>
          <w:noProof w:val="0"/>
          <w:color w:val="000000"/>
          <w:position w:val="0"/>
          <w:sz w:val="20"/>
          <w:u w:val="none"/>
          <w:vertAlign w:val="baseline"/>
        </w:rPr>
        <w:t xml:space="preserve">We have not directly addressed the definition of “prevailing moving party” in the context of an anti-SLAPP suit when the suit has been voluntarily dismissed. But, because the statutory provision applicable to anti-SLAPP attorney fees in California is substantially similar to Georgia’s, we may look to California cases for guidance. </w:t>
      </w:r>
      <w:bookmarkStart w:id="43" w:name="Bookmark_I08HC7MFMHY003MK8G6009SF"/>
      <w:bookmarkEnd w:id="43"/>
      <w:hyperlink r:id="rId51" w:history="1">
        <w:r>
          <w:rPr>
            <w:rFonts w:ascii="arial" w:eastAsia="arial" w:hAnsi="arial" w:cs="arial"/>
            <w:b w:val="0"/>
            <w:i/>
            <w:strike w:val="0"/>
            <w:noProof w:val="0"/>
            <w:color w:val="0077CC"/>
            <w:position w:val="0"/>
            <w:sz w:val="20"/>
            <w:u w:val="single"/>
            <w:shd w:val="clear" w:color="auto" w:fill="FFFFFF"/>
            <w:vertAlign w:val="baseline"/>
          </w:rPr>
          <w:t>Wilkes &amp; McHugh</w:t>
        </w:r>
      </w:hyperlink>
      <w:hyperlink r:id="rId52" w:history="1">
        <w:r>
          <w:rPr>
            <w:rFonts w:ascii="arial" w:eastAsia="arial" w:hAnsi="arial" w:cs="arial"/>
            <w:b w:val="0"/>
            <w:i/>
            <w:strike w:val="0"/>
            <w:noProof w:val="0"/>
            <w:color w:val="0077CC"/>
            <w:position w:val="0"/>
            <w:sz w:val="20"/>
            <w:u w:val="single"/>
            <w:shd w:val="clear" w:color="auto" w:fill="FFFFFF"/>
            <w:vertAlign w:val="baseline"/>
          </w:rPr>
          <w:t>, 306 Ga. at 257–58(2)</w:t>
        </w:r>
      </w:hyperlink>
      <w:r>
        <w:rPr>
          <w:rFonts w:ascii="arial" w:eastAsia="arial" w:hAnsi="arial" w:cs="arial"/>
          <w:b w:val="0"/>
          <w:i w:val="0"/>
          <w:strike w:val="0"/>
          <w:noProof w:val="0"/>
          <w:color w:val="000000"/>
          <w:position w:val="0"/>
          <w:sz w:val="20"/>
          <w:u w:val="none"/>
          <w:vertAlign w:val="baseline"/>
        </w:rPr>
        <w:t xml:space="preserve">; </w:t>
      </w:r>
      <w:bookmarkStart w:id="44" w:name="Bookmark_I08HC7MFNK7003MK8G6009T2"/>
      <w:bookmarkEnd w:id="44"/>
      <w:hyperlink r:id="rId53" w:history="1">
        <w:r>
          <w:rPr>
            <w:rFonts w:ascii="arial" w:eastAsia="arial" w:hAnsi="arial" w:cs="arial"/>
            <w:b w:val="0"/>
            <w:i/>
            <w:strike w:val="0"/>
            <w:noProof w:val="0"/>
            <w:color w:val="0077CC"/>
            <w:position w:val="0"/>
            <w:sz w:val="20"/>
            <w:u w:val="single"/>
            <w:shd w:val="clear" w:color="auto" w:fill="FFFFFF"/>
            <w:vertAlign w:val="baseline"/>
          </w:rPr>
          <w:t>Giraldi v. Bowen</w:t>
        </w:r>
      </w:hyperlink>
      <w:hyperlink r:id="rId54" w:history="1">
        <w:r>
          <w:rPr>
            <w:rFonts w:ascii="arial" w:eastAsia="arial" w:hAnsi="arial" w:cs="arial"/>
            <w:b w:val="0"/>
            <w:i/>
            <w:strike w:val="0"/>
            <w:noProof w:val="0"/>
            <w:color w:val="0077CC"/>
            <w:position w:val="0"/>
            <w:sz w:val="20"/>
            <w:u w:val="single"/>
            <w:shd w:val="clear" w:color="auto" w:fill="FFFFFF"/>
            <w:vertAlign w:val="baseline"/>
          </w:rPr>
          <w:t>, 374 Ga. App. 347, 353(1)(b) n.1 (912 SE2d 724) (2025)</w:t>
        </w:r>
      </w:hyperlink>
      <w:r>
        <w:rPr>
          <w:rFonts w:ascii="arial" w:eastAsia="arial" w:hAnsi="arial" w:cs="arial"/>
          <w:b w:val="0"/>
          <w:i w:val="0"/>
          <w:strike w:val="0"/>
          <w:noProof w:val="0"/>
          <w:color w:val="000000"/>
          <w:position w:val="0"/>
          <w:sz w:val="20"/>
          <w:u w:val="none"/>
          <w:vertAlign w:val="baseline"/>
        </w:rPr>
        <w:t xml:space="preserve">; compare </w:t>
      </w:r>
      <w:hyperlink r:id="rId55" w:history="1">
        <w:r>
          <w:rPr>
            <w:rFonts w:ascii="arial" w:eastAsia="arial" w:hAnsi="arial" w:cs="arial"/>
            <w:b w:val="0"/>
            <w:i/>
            <w:strike w:val="0"/>
            <w:noProof w:val="0"/>
            <w:color w:val="0077CC"/>
            <w:position w:val="0"/>
            <w:sz w:val="20"/>
            <w:u w:val="single"/>
            <w:shd w:val="clear" w:color="auto" w:fill="FFFFFF"/>
            <w:vertAlign w:val="baseline"/>
          </w:rPr>
          <w:t>OCGA § 9-11-11.1(b.1)</w:t>
        </w:r>
      </w:hyperlink>
      <w:r>
        <w:rPr>
          <w:rFonts w:ascii="arial" w:eastAsia="arial" w:hAnsi="arial" w:cs="arial"/>
          <w:b w:val="0"/>
          <w:i w:val="0"/>
          <w:strike w:val="0"/>
          <w:noProof w:val="0"/>
          <w:color w:val="000000"/>
          <w:position w:val="0"/>
          <w:sz w:val="20"/>
          <w:u w:val="none"/>
          <w:vertAlign w:val="baseline"/>
        </w:rPr>
        <w:t xml:space="preserve"> with </w:t>
      </w:r>
      <w:hyperlink r:id="rId56" w:history="1">
        <w:r>
          <w:rPr>
            <w:rFonts w:ascii="arial" w:eastAsia="arial" w:hAnsi="arial" w:cs="arial"/>
            <w:b w:val="0"/>
            <w:i/>
            <w:strike w:val="0"/>
            <w:noProof w:val="0"/>
            <w:color w:val="0077CC"/>
            <w:position w:val="0"/>
            <w:sz w:val="20"/>
            <w:u w:val="single"/>
            <w:shd w:val="clear" w:color="auto" w:fill="FFFFFF"/>
            <w:vertAlign w:val="baseline"/>
          </w:rPr>
          <w:t>Cal. Code Civ. Proc. § 425.16(c)(1)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5" w:name="Bookmark_I08HC7MFNK7003MK8G6009T5"/>
      <w:bookmarkEnd w:id="45"/>
      <w:bookmarkStart w:id="46" w:name="Bookmark_I08HC7MFPC3003MK8G6009TV"/>
      <w:bookmarkEnd w:id="46"/>
      <w:bookmarkStart w:id="47" w:name="Bookmark_I08HC7MFPT8003MK8G6009V5"/>
      <w:bookmarkEnd w:id="47"/>
      <w:bookmarkStart w:id="48" w:name="Bookmark_LNHNREFclscc4"/>
      <w:bookmarkEnd w:id="48"/>
      <w:r>
        <w:rPr>
          <w:rFonts w:ascii="arial" w:eastAsia="arial" w:hAnsi="arial" w:cs="arial"/>
          <w:b w:val="0"/>
          <w:i w:val="0"/>
          <w:strike w:val="0"/>
          <w:noProof w:val="0"/>
          <w:color w:val="000000"/>
          <w:position w:val="0"/>
          <w:sz w:val="20"/>
          <w:u w:val="none"/>
          <w:vertAlign w:val="baseline"/>
        </w:rPr>
        <w:t xml:space="preserve">Although the California courts have taken slightly different approaches, when we consider the statutory language and the purposes </w:t>
      </w:r>
      <w:r>
        <w:rPr>
          <w:rFonts w:ascii="arial" w:eastAsia="arial" w:hAnsi="arial" w:cs="arial"/>
          <w:b w:val="0"/>
          <w:i w:val="0"/>
          <w:strike w:val="0"/>
          <w:noProof w:val="0"/>
          <w:color w:val="000000"/>
          <w:position w:val="0"/>
          <w:sz w:val="20"/>
          <w:u w:val="none"/>
          <w:vertAlign w:val="baseline"/>
        </w:rPr>
        <w:t> [**689] </w:t>
      </w:r>
      <w:r>
        <w:rPr>
          <w:rFonts w:ascii="arial" w:eastAsia="arial" w:hAnsi="arial" w:cs="arial"/>
          <w:b w:val="0"/>
          <w:i w:val="0"/>
          <w:strike w:val="0"/>
          <w:noProof w:val="0"/>
          <w:color w:val="000000"/>
          <w:position w:val="0"/>
          <w:sz w:val="20"/>
          <w:u w:val="none"/>
          <w:vertAlign w:val="baseline"/>
        </w:rPr>
        <w:t xml:space="preserve"> of the </w:t>
      </w:r>
      <w:hyperlink r:id="rId57" w:history="1">
        <w:r>
          <w:rPr>
            <w:rFonts w:ascii="arial" w:eastAsia="arial" w:hAnsi="arial" w:cs="arial"/>
            <w:b w:val="0"/>
            <w:i/>
            <w:strike w:val="0"/>
            <w:noProof w:val="0"/>
            <w:color w:val="0077CC"/>
            <w:position w:val="0"/>
            <w:sz w:val="20"/>
            <w:u w:val="single"/>
            <w:shd w:val="clear" w:color="auto" w:fill="FFFFFF"/>
            <w:vertAlign w:val="baseline"/>
          </w:rPr>
          <w:t>anti-SLAPP statute</w:t>
        </w:r>
      </w:hyperlink>
      <w:r>
        <w:rPr>
          <w:rFonts w:ascii="arial" w:eastAsia="arial" w:hAnsi="arial" w:cs="arial"/>
          <w:b w:val="0"/>
          <w:i w:val="0"/>
          <w:strike w:val="0"/>
          <w:noProof w:val="0"/>
          <w:color w:val="000000"/>
          <w:position w:val="0"/>
          <w:sz w:val="20"/>
          <w:u w:val="none"/>
          <w:vertAlign w:val="baseline"/>
        </w:rPr>
        <w:t>, we conclude the proper approach</w:t>
      </w:r>
      <w:r>
        <w:rPr>
          <w:rFonts w:ascii="arial" w:eastAsia="arial" w:hAnsi="arial" w:cs="arial"/>
          <w:b w:val="0"/>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depends on a determination of whether the defendant would have prevailed on the motion to strike. See </w:t>
      </w:r>
      <w:bookmarkStart w:id="49" w:name="Bookmark_I08HC7MFNK7003MK8G6009T4"/>
      <w:bookmarkEnd w:id="49"/>
      <w:hyperlink r:id="rId58" w:history="1">
        <w:r>
          <w:rPr>
            <w:rFonts w:ascii="arial" w:eastAsia="arial" w:hAnsi="arial" w:cs="arial"/>
            <w:b w:val="0"/>
            <w:i/>
            <w:strike w:val="0"/>
            <w:noProof w:val="0"/>
            <w:color w:val="0077CC"/>
            <w:position w:val="0"/>
            <w:sz w:val="20"/>
            <w:u w:val="single"/>
            <w:shd w:val="clear" w:color="auto" w:fill="FFFFFF"/>
            <w:vertAlign w:val="baseline"/>
          </w:rPr>
          <w:t>Tourgeman v. Nelson &amp; Kennard</w:t>
        </w:r>
      </w:hyperlink>
      <w:hyperlink r:id="rId59" w:history="1">
        <w:r>
          <w:rPr>
            <w:rFonts w:ascii="arial" w:eastAsia="arial" w:hAnsi="arial" w:cs="arial"/>
            <w:b w:val="0"/>
            <w:i/>
            <w:strike w:val="0"/>
            <w:noProof w:val="0"/>
            <w:color w:val="0077CC"/>
            <w:position w:val="0"/>
            <w:sz w:val="20"/>
            <w:u w:val="single"/>
            <w:shd w:val="clear" w:color="auto" w:fill="FFFFFF"/>
            <w:vertAlign w:val="baseline"/>
          </w:rPr>
          <w:t>, 222 CalApp 4th 1447, 1457(III)(A) (Cal. Ct. App. 2014)</w:t>
        </w:r>
      </w:hyperlink>
      <w:r>
        <w:rPr>
          <w:rFonts w:ascii="arial" w:eastAsia="arial" w:hAnsi="arial" w:cs="arial"/>
          <w:b w:val="0"/>
          <w:i w:val="0"/>
          <w:strike w:val="0"/>
          <w:noProof w:val="0"/>
          <w:color w:val="000000"/>
          <w:position w:val="0"/>
          <w:sz w:val="20"/>
          <w:u w:val="none"/>
          <w:vertAlign w:val="baseline"/>
        </w:rPr>
        <w:t xml:space="preserve">; </w:t>
      </w:r>
      <w:bookmarkStart w:id="50" w:name="Bookmark_I08HC7MFPC3003MK8G6009TR"/>
      <w:bookmarkEnd w:id="50"/>
      <w:hyperlink r:id="rId60" w:history="1">
        <w:r>
          <w:rPr>
            <w:rFonts w:ascii="arial" w:eastAsia="arial" w:hAnsi="arial" w:cs="arial"/>
            <w:b w:val="0"/>
            <w:i/>
            <w:strike w:val="0"/>
            <w:noProof w:val="0"/>
            <w:color w:val="0077CC"/>
            <w:position w:val="0"/>
            <w:sz w:val="20"/>
            <w:u w:val="single"/>
            <w:shd w:val="clear" w:color="auto" w:fill="FFFFFF"/>
            <w:vertAlign w:val="baseline"/>
          </w:rPr>
          <w:t>Rogers</w:t>
        </w:r>
      </w:hyperlink>
      <w:hyperlink r:id="rId61" w:history="1">
        <w:r>
          <w:rPr>
            <w:rFonts w:ascii="arial" w:eastAsia="arial" w:hAnsi="arial" w:cs="arial"/>
            <w:b w:val="0"/>
            <w:i/>
            <w:strike w:val="0"/>
            <w:noProof w:val="0"/>
            <w:color w:val="0077CC"/>
            <w:position w:val="0"/>
            <w:sz w:val="20"/>
            <w:u w:val="single"/>
            <w:shd w:val="clear" w:color="auto" w:fill="FFFFFF"/>
            <w:vertAlign w:val="baseline"/>
          </w:rPr>
          <w:t>, 340 Ga. App. at 815(2)</w:t>
        </w:r>
      </w:hyperlink>
      <w:r>
        <w:rPr>
          <w:rFonts w:ascii="arial" w:eastAsia="arial" w:hAnsi="arial" w:cs="arial"/>
          <w:b w:val="0"/>
          <w:i w:val="0"/>
          <w:strike w:val="0"/>
          <w:noProof w:val="0"/>
          <w:color w:val="000000"/>
          <w:position w:val="0"/>
          <w:sz w:val="20"/>
          <w:u w:val="none"/>
          <w:vertAlign w:val="baseline"/>
        </w:rPr>
        <w:t xml:space="preserve"> (purpose of anti-SLAPP is to end litigation quickly and with limited expense to defendants); </w:t>
      </w:r>
      <w:hyperlink r:id="rId62" w:history="1">
        <w:r>
          <w:rPr>
            <w:rFonts w:ascii="arial" w:eastAsia="arial" w:hAnsi="arial" w:cs="arial"/>
            <w:b w:val="0"/>
            <w:i/>
            <w:strike w:val="0"/>
            <w:noProof w:val="0"/>
            <w:color w:val="0077CC"/>
            <w:position w:val="0"/>
            <w:sz w:val="20"/>
            <w:u w:val="single"/>
            <w:shd w:val="clear" w:color="auto" w:fill="FFFFFF"/>
            <w:vertAlign w:val="baseline"/>
          </w:rPr>
          <w:t>OCGA § 9-11-11.1(h)</w:t>
        </w:r>
      </w:hyperlink>
      <w:r>
        <w:rPr>
          <w:rFonts w:ascii="arial" w:eastAsia="arial" w:hAnsi="arial" w:cs="arial"/>
          <w:b w:val="0"/>
          <w:i w:val="0"/>
          <w:strike w:val="0"/>
          <w:noProof w:val="0"/>
          <w:color w:val="000000"/>
          <w:position w:val="0"/>
          <w:sz w:val="20"/>
          <w:u w:val="none"/>
          <w:vertAlign w:val="baseline"/>
        </w:rPr>
        <w:t xml:space="preserve"> (attorney fees can be requested at any time during course of litigation, or within 45 days of the final disposition, including dismissal by the plaintiff). </w:t>
      </w:r>
      <w:bookmarkStart w:id="51" w:name="Bookmark_II08HRWTCF0M003RWT9V003X1"/>
      <w:bookmarkEnd w:id="51"/>
      <w:bookmarkStart w:id="52" w:name="Bookmark_I08HC7MFPT8003MK8G6009V3"/>
      <w:bookmarkEnd w:id="52"/>
      <w:bookmarkStart w:id="53" w:name="Bookmark_I08HC7MFPT8003MK8G6009V5_2"/>
      <w:bookmarkEnd w:id="53"/>
      <w:r>
        <w:rPr>
          <w:rFonts w:ascii="arial" w:eastAsia="arial" w:hAnsi="arial" w:cs="arial"/>
          <w:b w:val="0"/>
          <w:i w:val="0"/>
          <w:strike w:val="0"/>
          <w:noProof w:val="0"/>
          <w:color w:val="000000"/>
          <w:position w:val="0"/>
          <w:sz w:val="20"/>
          <w:u w:val="none"/>
          <w:vertAlign w:val="baseline"/>
        </w:rPr>
        <w:t>And, to determine whether a defendant is the prevailing party, the trial court must engage in the two-part analysis of the anti-SLAPP motion.</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w:t>
      </w:r>
      <w:bookmarkStart w:id="56" w:name="Bookmark_I08HC7MFPC3003MK8G6009TT"/>
      <w:bookmarkEnd w:id="56"/>
      <w:hyperlink r:id="rId63" w:history="1">
        <w:r>
          <w:rPr>
            <w:rFonts w:ascii="arial" w:eastAsia="arial" w:hAnsi="arial" w:cs="arial"/>
            <w:b w:val="0"/>
            <w:i/>
            <w:strike w:val="0"/>
            <w:noProof w:val="0"/>
            <w:color w:val="0077CC"/>
            <w:position w:val="0"/>
            <w:sz w:val="20"/>
            <w:u w:val="single"/>
            <w:shd w:val="clear" w:color="auto" w:fill="FFFFFF"/>
            <w:vertAlign w:val="baseline"/>
          </w:rPr>
          <w:t>Liu v. Moore</w:t>
        </w:r>
      </w:hyperlink>
      <w:hyperlink r:id="rId64" w:history="1">
        <w:r>
          <w:rPr>
            <w:rFonts w:ascii="arial" w:eastAsia="arial" w:hAnsi="arial" w:cs="arial"/>
            <w:b w:val="0"/>
            <w:i/>
            <w:strike w:val="0"/>
            <w:noProof w:val="0"/>
            <w:color w:val="0077CC"/>
            <w:position w:val="0"/>
            <w:sz w:val="20"/>
            <w:u w:val="single"/>
            <w:shd w:val="clear" w:color="auto" w:fill="FFFFFF"/>
            <w:vertAlign w:val="baseline"/>
          </w:rPr>
          <w:t>, 69 CalApp 4th 745, 752(2) (Cal. Ct. App. 1999)</w:t>
        </w:r>
      </w:hyperlink>
      <w:r>
        <w:rPr>
          <w:rFonts w:ascii="arial" w:eastAsia="arial" w:hAnsi="arial" w:cs="arial"/>
          <w:b w:val="0"/>
          <w:i w:val="0"/>
          <w:strike w:val="0"/>
          <w:noProof w:val="0"/>
          <w:color w:val="000000"/>
          <w:position w:val="0"/>
          <w:sz w:val="20"/>
          <w:u w:val="none"/>
          <w:vertAlign w:val="baseline"/>
        </w:rPr>
        <w:t xml:space="preserve"> (“the trial court’s adjudication of the merits of a defendant’s motion to strike is an essential predicate to ruling on the defendant’s request for an award of fees and costs”).</w:t>
      </w:r>
    </w:p>
    <w:p>
      <w:pPr>
        <w:keepNext w:val="0"/>
        <w:spacing w:before="200" w:after="0" w:line="260" w:lineRule="atLeast"/>
        <w:ind w:left="400" w:right="0" w:firstLine="0"/>
        <w:jc w:val="both"/>
      </w:pPr>
      <w:bookmarkStart w:id="57" w:name="Bookmark_I08HC7MFPT8003MK8G6009V3_2"/>
      <w:bookmarkEnd w:id="57"/>
      <w:r>
        <w:rPr>
          <w:rFonts w:ascii="arial" w:eastAsia="arial" w:hAnsi="arial" w:cs="arial"/>
          <w:b w:val="0"/>
          <w:i w:val="0"/>
          <w:strike w:val="0"/>
          <w:noProof w:val="0"/>
          <w:color w:val="000000"/>
          <w:position w:val="0"/>
          <w:sz w:val="20"/>
          <w:u w:val="none"/>
          <w:vertAlign w:val="baseline"/>
        </w:rPr>
        <w:t>First, the trial court decides whether the moving party has made a threshold showing that the challenged claim is one arising from protected activity. ... If the moving party makes a threshold showing of protected activity, then the court proceeds to the second step of the analysis and determines whether the plaintiff has established a reasonable probability that he will prevail on the merits of his claim.</w:t>
      </w:r>
    </w:p>
    <w:p>
      <w:pPr>
        <w:keepNext w:val="0"/>
        <w:spacing w:before="240" w:after="0" w:line="260" w:lineRule="atLeast"/>
        <w:ind w:left="0" w:right="0" w:firstLine="0"/>
        <w:jc w:val="both"/>
      </w:pPr>
      <w:bookmarkStart w:id="58" w:name="Bookmark_I08HC7MFPT8003MK8G6009V3_3"/>
      <w:bookmarkEnd w:id="58"/>
      <w:bookmarkStart w:id="59" w:name="Bookmark_I08HC7MFPC3003MK8G6009TW"/>
      <w:bookmarkEnd w:id="59"/>
      <w:hyperlink r:id="rId65" w:history="1">
        <w:r>
          <w:rPr>
            <w:rFonts w:ascii="arial" w:eastAsia="arial" w:hAnsi="arial" w:cs="arial"/>
            <w:b w:val="0"/>
            <w:i/>
            <w:strike w:val="0"/>
            <w:color w:val="0077CC"/>
            <w:sz w:val="20"/>
            <w:u w:val="single"/>
            <w:shd w:val="clear" w:color="auto" w:fill="FFFFFF"/>
            <w:vertAlign w:val="baseline"/>
          </w:rPr>
          <w:t>Giraldi</w:t>
        </w:r>
      </w:hyperlink>
      <w:hyperlink r:id="rId66" w:history="1">
        <w:r>
          <w:rPr>
            <w:rFonts w:ascii="arial" w:eastAsia="arial" w:hAnsi="arial" w:cs="arial"/>
            <w:b w:val="0"/>
            <w:i/>
            <w:strike w:val="0"/>
            <w:color w:val="0077CC"/>
            <w:sz w:val="20"/>
            <w:u w:val="single"/>
            <w:shd w:val="clear" w:color="auto" w:fill="FFFFFF"/>
            <w:vertAlign w:val="baseline"/>
          </w:rPr>
          <w:t>, 374 Ga. App. at 350–51(1)</w:t>
        </w:r>
      </w:hyperlink>
      <w:r>
        <w:rPr>
          <w:rFonts w:ascii="arial" w:eastAsia="arial" w:hAnsi="arial" w:cs="arial"/>
          <w:b w:val="0"/>
          <w:i w:val="0"/>
          <w:strike w:val="0"/>
          <w:noProof w:val="0"/>
          <w:color w:val="000000"/>
          <w:position w:val="0"/>
          <w:sz w:val="20"/>
          <w:u w:val="none"/>
          <w:vertAlign w:val="baseline"/>
        </w:rPr>
        <w:t xml:space="preserve"> (quotation marks omitted).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this framework, we conclude the trial court here conducted the proper</w:t>
      </w:r>
      <w:r>
        <w:rPr>
          <w:rFonts w:ascii="arial" w:eastAsia="arial" w:hAnsi="arial" w:cs="arial"/>
          <w:b w:val="0"/>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analysis. There is no dispute that filing motions and appeals falls within protected activity. See </w:t>
      </w:r>
      <w:hyperlink r:id="rId67" w:history="1">
        <w:r>
          <w:rPr>
            <w:rFonts w:ascii="arial" w:eastAsia="arial" w:hAnsi="arial" w:cs="arial"/>
            <w:b w:val="0"/>
            <w:i/>
            <w:strike w:val="0"/>
            <w:noProof w:val="0"/>
            <w:color w:val="0077CC"/>
            <w:position w:val="0"/>
            <w:sz w:val="20"/>
            <w:u w:val="single"/>
            <w:shd w:val="clear" w:color="auto" w:fill="FFFFFF"/>
            <w:vertAlign w:val="baseline"/>
          </w:rPr>
          <w:t>OCGA § 9-11-11.1(c) (1)–(2)</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 [*455] </w:t>
      </w:r>
      <w:r>
        <w:rPr>
          <w:rFonts w:ascii="arial" w:eastAsia="arial" w:hAnsi="arial" w:cs="arial"/>
          <w:b w:val="0"/>
          <w:i w:val="0"/>
          <w:strike w:val="0"/>
          <w:noProof w:val="0"/>
          <w:color w:val="000000"/>
          <w:position w:val="0"/>
          <w:sz w:val="20"/>
          <w:u w:val="none"/>
          <w:vertAlign w:val="baseline"/>
        </w:rPr>
        <w:t xml:space="preserve"> Turning to the second prong, Trabue acknowledges the abusive litigation suit was premature. </w:t>
      </w:r>
      <w:bookmarkStart w:id="60" w:name="Bookmark_I08HC7MFPT8003MK8G6009V7"/>
      <w:bookmarkEnd w:id="60"/>
      <w:r>
        <w:rPr>
          <w:rFonts w:ascii="arial" w:eastAsia="arial" w:hAnsi="arial" w:cs="arial"/>
          <w:b w:val="0"/>
          <w:i w:val="0"/>
          <w:strike w:val="0"/>
          <w:noProof w:val="0"/>
          <w:color w:val="000000"/>
          <w:position w:val="0"/>
          <w:sz w:val="20"/>
          <w:u w:val="none"/>
          <w:vertAlign w:val="baseline"/>
        </w:rPr>
        <w:t xml:space="preserve">As such, at the time Flint filed the motion to strike, Trabue could not show a reasonable probability that he would prevail on the merits. </w:t>
      </w:r>
      <w:bookmarkStart w:id="61" w:name="Bookmark_LNHNREFclscc5"/>
      <w:bookmarkEnd w:id="61"/>
      <w:r>
        <w:rPr>
          <w:rFonts w:ascii="arial" w:eastAsia="arial" w:hAnsi="arial" w:cs="arial"/>
          <w:b w:val="0"/>
          <w:i w:val="0"/>
          <w:strike w:val="0"/>
          <w:noProof w:val="0"/>
          <w:color w:val="000000"/>
          <w:position w:val="0"/>
          <w:sz w:val="20"/>
          <w:u w:val="none"/>
          <w:vertAlign w:val="baseline"/>
        </w:rPr>
        <w:t xml:space="preserve">Moreover, </w:t>
      </w:r>
      <w:hyperlink r:id="rId68" w:history="1">
        <w:r>
          <w:rPr>
            <w:rFonts w:ascii="arial" w:eastAsia="arial" w:hAnsi="arial" w:cs="arial"/>
            <w:b w:val="0"/>
            <w:i/>
            <w:strike w:val="0"/>
            <w:noProof w:val="0"/>
            <w:color w:val="0077CC"/>
            <w:position w:val="0"/>
            <w:sz w:val="20"/>
            <w:u w:val="single"/>
            <w:shd w:val="clear" w:color="auto" w:fill="FFFFFF"/>
            <w:vertAlign w:val="baseline"/>
          </w:rPr>
          <w:t>OCGA § 9-11-11.1(h)</w:t>
        </w:r>
      </w:hyperlink>
      <w:r>
        <w:rPr>
          <w:rFonts w:ascii="arial" w:eastAsia="arial" w:hAnsi="arial" w:cs="arial"/>
          <w:b w:val="0"/>
          <w:i w:val="0"/>
          <w:strike w:val="0"/>
          <w:noProof w:val="0"/>
          <w:color w:val="000000"/>
          <w:position w:val="0"/>
          <w:sz w:val="20"/>
          <w:u w:val="none"/>
          <w:vertAlign w:val="baseline"/>
        </w:rPr>
        <w:t xml:space="preserve"> specifically contemplates that attorney fees could be awarded following a plaintiff’s dismissal of the action. </w:t>
      </w:r>
      <w:bookmarkStart w:id="62" w:name="Bookmark_I08HC7MFRJ7003MK8G6009W1"/>
      <w:bookmarkEnd w:id="62"/>
      <w:r>
        <w:rPr>
          <w:rFonts w:ascii="arial" w:eastAsia="arial" w:hAnsi="arial" w:cs="arial"/>
          <w:b w:val="0"/>
          <w:i w:val="0"/>
          <w:strike w:val="0"/>
          <w:noProof w:val="0"/>
          <w:color w:val="000000"/>
          <w:position w:val="0"/>
          <w:sz w:val="20"/>
          <w:u w:val="none"/>
          <w:vertAlign w:val="baseline"/>
        </w:rPr>
        <w:t xml:space="preserve">Cf. </w:t>
      </w:r>
      <w:bookmarkStart w:id="63" w:name="Bookmark_I08HC7MFPT8003MK8G6009V6"/>
      <w:bookmarkEnd w:id="63"/>
      <w:hyperlink r:id="rId69" w:history="1">
        <w:r>
          <w:rPr>
            <w:rFonts w:ascii="arial" w:eastAsia="arial" w:hAnsi="arial" w:cs="arial"/>
            <w:b w:val="0"/>
            <w:i/>
            <w:strike w:val="0"/>
            <w:noProof w:val="0"/>
            <w:color w:val="0077CC"/>
            <w:position w:val="0"/>
            <w:sz w:val="20"/>
            <w:u w:val="single"/>
            <w:shd w:val="clear" w:color="auto" w:fill="FFFFFF"/>
            <w:vertAlign w:val="baseline"/>
          </w:rPr>
          <w:t>Hagemann v. Berkman Wynhaven Assocs.</w:t>
        </w:r>
      </w:hyperlink>
      <w:hyperlink r:id="rId70" w:history="1">
        <w:r>
          <w:rPr>
            <w:rFonts w:ascii="arial" w:eastAsia="arial" w:hAnsi="arial" w:cs="arial"/>
            <w:b w:val="0"/>
            <w:i/>
            <w:strike w:val="0"/>
            <w:noProof w:val="0"/>
            <w:color w:val="0077CC"/>
            <w:position w:val="0"/>
            <w:sz w:val="20"/>
            <w:u w:val="single"/>
            <w:shd w:val="clear" w:color="auto" w:fill="FFFFFF"/>
            <w:vertAlign w:val="baseline"/>
          </w:rPr>
          <w:t>, 290 Ga. App. 677, 683–84 (660 SE2d 449) (2008)</w:t>
        </w:r>
      </w:hyperlink>
      <w:r>
        <w:rPr>
          <w:rFonts w:ascii="arial" w:eastAsia="arial" w:hAnsi="arial" w:cs="arial"/>
          <w:b w:val="0"/>
          <w:i w:val="0"/>
          <w:strike w:val="0"/>
          <w:noProof w:val="0"/>
          <w:color w:val="000000"/>
          <w:position w:val="0"/>
          <w:sz w:val="20"/>
          <w:u w:val="none"/>
          <w:vertAlign w:val="baseline"/>
        </w:rPr>
        <w:t xml:space="preserve"> (discussing former </w:t>
      </w:r>
      <w:hyperlink r:id="rId71" w:history="1">
        <w:r>
          <w:rPr>
            <w:rFonts w:ascii="arial" w:eastAsia="arial" w:hAnsi="arial" w:cs="arial"/>
            <w:b w:val="0"/>
            <w:i/>
            <w:strike w:val="0"/>
            <w:noProof w:val="0"/>
            <w:color w:val="0077CC"/>
            <w:position w:val="0"/>
            <w:sz w:val="20"/>
            <w:u w:val="single"/>
            <w:shd w:val="clear" w:color="auto" w:fill="FFFFFF"/>
            <w:vertAlign w:val="baseline"/>
          </w:rPr>
          <w:t>OCGA § 9-11-11.1(f)</w:t>
        </w:r>
      </w:hyperlink>
      <w:r>
        <w:rPr>
          <w:rFonts w:ascii="arial" w:eastAsia="arial" w:hAnsi="arial" w:cs="arial"/>
          <w:b w:val="0"/>
          <w:i w:val="0"/>
          <w:strike w:val="0"/>
          <w:noProof w:val="0"/>
          <w:color w:val="000000"/>
          <w:position w:val="0"/>
          <w:sz w:val="20"/>
          <w:u w:val="none"/>
          <w:vertAlign w:val="baseline"/>
        </w:rPr>
        <w:t xml:space="preserve"> (1998) and explaining that a voluntary dismissal does not “preclude the imposition” of sanctions, which could include attorney fees). </w:t>
      </w:r>
      <w:bookmarkStart w:id="64" w:name="Bookmark_I08HC7MFRJ7003MK8G6009W1_2"/>
      <w:bookmarkEnd w:id="64"/>
      <w:bookmarkStart w:id="65" w:name="Bookmark_I08HC7MFRJ7003MK8G6009W3"/>
      <w:bookmarkEnd w:id="65"/>
      <w:r>
        <w:rPr>
          <w:rFonts w:ascii="arial" w:eastAsia="arial" w:hAnsi="arial" w:cs="arial"/>
          <w:b w:val="0"/>
          <w:i w:val="0"/>
          <w:strike w:val="0"/>
          <w:noProof w:val="0"/>
          <w:color w:val="000000"/>
          <w:position w:val="0"/>
          <w:sz w:val="20"/>
          <w:u w:val="none"/>
          <w:vertAlign w:val="baseline"/>
        </w:rPr>
        <w:t xml:space="preserve">And, under our rules of statutory construction, “statutes relating to the same subject matter are in pari materia and must be construed together and harmonized whenever possible. ... [T]he fundamental rules of statutory construction ... require us to avoid a construction that makes some language mere surplusage.” </w:t>
      </w:r>
      <w:bookmarkStart w:id="66" w:name="Bookmark_I08HC7MFTPP003MK8G600B14"/>
      <w:bookmarkEnd w:id="66"/>
      <w:bookmarkStart w:id="67" w:name="Bookmark_I08HC7MFRJ6003MK8G6009W0"/>
      <w:bookmarkEnd w:id="67"/>
      <w:hyperlink r:id="rId72" w:history="1">
        <w:r>
          <w:rPr>
            <w:rFonts w:ascii="arial" w:eastAsia="arial" w:hAnsi="arial" w:cs="arial"/>
            <w:b w:val="0"/>
            <w:i/>
            <w:strike w:val="0"/>
            <w:noProof w:val="0"/>
            <w:color w:val="0077CC"/>
            <w:position w:val="0"/>
            <w:sz w:val="20"/>
            <w:u w:val="single"/>
            <w:shd w:val="clear" w:color="auto" w:fill="FFFFFF"/>
            <w:vertAlign w:val="baseline"/>
          </w:rPr>
          <w:t>Stockton v. Shadwick</w:t>
        </w:r>
      </w:hyperlink>
      <w:hyperlink r:id="rId73" w:history="1">
        <w:r>
          <w:rPr>
            <w:rFonts w:ascii="arial" w:eastAsia="arial" w:hAnsi="arial" w:cs="arial"/>
            <w:b w:val="0"/>
            <w:i/>
            <w:strike w:val="0"/>
            <w:noProof w:val="0"/>
            <w:color w:val="0077CC"/>
            <w:position w:val="0"/>
            <w:sz w:val="20"/>
            <w:u w:val="single"/>
            <w:shd w:val="clear" w:color="auto" w:fill="FFFFFF"/>
            <w:vertAlign w:val="baseline"/>
          </w:rPr>
          <w:t>, 362 Ga. App. 779, 783(1)(a) (870 SE2d 104) (2022)</w:t>
        </w:r>
      </w:hyperlink>
      <w:r>
        <w:rPr>
          <w:rFonts w:ascii="arial" w:eastAsia="arial" w:hAnsi="arial" w:cs="arial"/>
          <w:b w:val="0"/>
          <w:i w:val="0"/>
          <w:strike w:val="0"/>
          <w:noProof w:val="0"/>
          <w:color w:val="000000"/>
          <w:position w:val="0"/>
          <w:sz w:val="20"/>
          <w:u w:val="none"/>
          <w:vertAlign w:val="baseline"/>
        </w:rPr>
        <w:t xml:space="preserve"> (punctuation omitted.) . </w:t>
      </w:r>
      <w:bookmarkStart w:id="68" w:name="Bookmark__1"/>
      <w:bookmarkEnd w:id="68"/>
      <w:r>
        <w:rPr>
          <w:rFonts w:ascii="arial" w:eastAsia="arial" w:hAnsi="arial" w:cs="arial"/>
          <w:b w:val="0"/>
          <w:i w:val="0"/>
          <w:strike w:val="0"/>
          <w:noProof w:val="0"/>
          <w:color w:val="000000"/>
          <w:position w:val="0"/>
          <w:sz w:val="20"/>
          <w:u w:val="none"/>
          <w:vertAlign w:val="baseline"/>
        </w:rPr>
        <w:t xml:space="preserve">(1) </w:t>
      </w:r>
      <w:bookmarkStart w:id="69" w:name="Bookmark_I08HC7MFTPP003MK8G600B14_2"/>
      <w:bookmarkEnd w:id="69"/>
      <w:bookmarkStart w:id="70" w:name="Bookmark_I08HC7MFRJ7003MK8G6009W3_2"/>
      <w:bookmarkEnd w:id="70"/>
      <w:r>
        <w:rPr>
          <w:rFonts w:ascii="arial" w:eastAsia="arial" w:hAnsi="arial" w:cs="arial"/>
          <w:b w:val="0"/>
          <w:i w:val="0"/>
          <w:strike w:val="0"/>
          <w:noProof w:val="0"/>
          <w:color w:val="000000"/>
          <w:position w:val="0"/>
          <w:sz w:val="20"/>
          <w:u w:val="none"/>
          <w:vertAlign w:val="baseline"/>
        </w:rPr>
        <w:t>Because these statutory provisions, read together, contemplate an award of attorney fees following a voluntary dismissal of an alleged abusive litigation suit, the trial court correctly determined that Flint was the “prevailing moving</w:t>
      </w:r>
      <w:r>
        <w:rPr>
          <w:rFonts w:ascii="arial" w:eastAsia="arial" w:hAnsi="arial" w:cs="arial"/>
          <w:b w:val="0"/>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party” in this case.</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See </w:t>
      </w:r>
      <w:bookmarkStart w:id="87" w:name="Bookmark_I08HC7MFRJ7003MK8G6009W2"/>
      <w:bookmarkEnd w:id="87"/>
      <w:hyperlink r:id="rId74" w:history="1">
        <w:r>
          <w:rPr>
            <w:rFonts w:ascii="arial" w:eastAsia="arial" w:hAnsi="arial" w:cs="arial"/>
            <w:b w:val="0"/>
            <w:i/>
            <w:strike w:val="0"/>
            <w:noProof w:val="0"/>
            <w:color w:val="0077CC"/>
            <w:position w:val="0"/>
            <w:sz w:val="20"/>
            <w:u w:val="single"/>
            <w:shd w:val="clear" w:color="auto" w:fill="FFFFFF"/>
            <w:vertAlign w:val="baseline"/>
          </w:rPr>
          <w:t>Aron v. WIB Holdings</w:t>
        </w:r>
      </w:hyperlink>
      <w:hyperlink r:id="rId75" w:history="1">
        <w:r>
          <w:rPr>
            <w:rFonts w:ascii="arial" w:eastAsia="arial" w:hAnsi="arial" w:cs="arial"/>
            <w:b w:val="0"/>
            <w:i/>
            <w:strike w:val="0"/>
            <w:noProof w:val="0"/>
            <w:color w:val="0077CC"/>
            <w:position w:val="0"/>
            <w:sz w:val="20"/>
            <w:u w:val="single"/>
            <w:shd w:val="clear" w:color="auto" w:fill="FFFFFF"/>
            <w:vertAlign w:val="baseline"/>
          </w:rPr>
          <w:t xml:space="preserve">, </w:t>
        </w:r>
      </w:hyperlink>
      <w:hyperlink r:id="rId76" w:history="1">
        <w:r>
          <w:rPr>
            <w:rFonts w:ascii="arial" w:eastAsia="arial" w:hAnsi="arial" w:cs="arial"/>
            <w:b w:val="0"/>
            <w:i/>
            <w:strike w:val="0"/>
            <w:noProof w:val="0"/>
            <w:color w:val="0077CC"/>
            <w:position w:val="0"/>
            <w:sz w:val="20"/>
            <w:u w:val="single"/>
            <w:shd w:val="clear" w:color="auto" w:fill="FFFFFF"/>
            <w:vertAlign w:val="baseline"/>
          </w:rPr>
          <w:t> [**690] </w:t>
        </w:r>
      </w:hyperlink>
      <w:hyperlink r:id="rId77" w:history="1">
        <w:r>
          <w:rPr>
            <w:rFonts w:ascii="arial" w:eastAsia="arial" w:hAnsi="arial" w:cs="arial"/>
            <w:b w:val="0"/>
            <w:i/>
            <w:strike w:val="0"/>
            <w:noProof w:val="0"/>
            <w:color w:val="0077CC"/>
            <w:position w:val="0"/>
            <w:sz w:val="20"/>
            <w:u w:val="single"/>
            <w:shd w:val="clear" w:color="auto" w:fill="FFFFFF"/>
            <w:vertAlign w:val="baseline"/>
          </w:rPr>
          <w:t xml:space="preserve"> 21 CalApp 5th 1069, 1084–85(II)(C) (Cal. Ct. App. 2018)</w:t>
        </w:r>
      </w:hyperlink>
      <w:r>
        <w:rPr>
          <w:rFonts w:ascii="arial" w:eastAsia="arial" w:hAnsi="arial" w:cs="arial"/>
          <w:b w:val="0"/>
          <w:i w:val="0"/>
          <w:strike w:val="0"/>
          <w:noProof w:val="0"/>
          <w:color w:val="000000"/>
          <w:position w:val="0"/>
          <w:sz w:val="20"/>
          <w:u w:val="none"/>
          <w:vertAlign w:val="baseline"/>
        </w:rPr>
        <w:t xml:space="preserve"> (plaintiff could not show reasonable probability of prevailing where his action was premature at the time the defendant filed the motion to strike). And, once the trial court determined that Flint was the prevailing party,</w:t>
      </w:r>
      <w:r>
        <w:rPr>
          <w:rFonts w:ascii="arial" w:eastAsia="arial" w:hAnsi="arial" w:cs="arial"/>
          <w:b w:val="0"/>
          <w:i w:val="0"/>
          <w:strike w:val="0"/>
          <w:noProof w:val="0"/>
          <w:color w:val="000000"/>
          <w:position w:val="0"/>
          <w:sz w:val="20"/>
          <w:u w:val="none"/>
          <w:vertAlign w:val="baseline"/>
        </w:rPr>
        <w:t> [*456] </w:t>
      </w:r>
      <w:r>
        <w:rPr>
          <w:rFonts w:ascii="arial" w:eastAsia="arial" w:hAnsi="arial" w:cs="arial"/>
          <w:b w:val="0"/>
          <w:i w:val="0"/>
          <w:strike w:val="0"/>
          <w:noProof w:val="0"/>
          <w:color w:val="000000"/>
          <w:position w:val="0"/>
          <w:sz w:val="20"/>
          <w:u w:val="none"/>
          <w:vertAlign w:val="baseline"/>
        </w:rPr>
        <w:t xml:space="preserve"> it was required to award fees. </w:t>
      </w:r>
      <w:bookmarkStart w:id="88" w:name="Bookmark_I08HC7MFRJ7003MK8G6009W4"/>
      <w:bookmarkEnd w:id="88"/>
      <w:hyperlink r:id="rId78" w:history="1">
        <w:r>
          <w:rPr>
            <w:rFonts w:ascii="arial" w:eastAsia="arial" w:hAnsi="arial" w:cs="arial"/>
            <w:b w:val="0"/>
            <w:i/>
            <w:strike w:val="0"/>
            <w:noProof w:val="0"/>
            <w:color w:val="0077CC"/>
            <w:position w:val="0"/>
            <w:sz w:val="20"/>
            <w:u w:val="single"/>
            <w:shd w:val="clear" w:color="auto" w:fill="FFFFFF"/>
            <w:vertAlign w:val="baseline"/>
          </w:rPr>
          <w:t>Barnwell v. Trivedi</w:t>
        </w:r>
      </w:hyperlink>
      <w:hyperlink r:id="rId79" w:history="1">
        <w:r>
          <w:rPr>
            <w:rFonts w:ascii="arial" w:eastAsia="arial" w:hAnsi="arial" w:cs="arial"/>
            <w:b w:val="0"/>
            <w:i/>
            <w:strike w:val="0"/>
            <w:noProof w:val="0"/>
            <w:color w:val="0077CC"/>
            <w:position w:val="0"/>
            <w:sz w:val="20"/>
            <w:u w:val="single"/>
            <w:shd w:val="clear" w:color="auto" w:fill="FFFFFF"/>
            <w:vertAlign w:val="baseline"/>
          </w:rPr>
          <w:t>, 370 Ga. App. 522, 526(2)(c) (898 SE2d 250) (2024)</w:t>
        </w:r>
      </w:hyperlink>
      <w:r>
        <w:rPr>
          <w:rFonts w:ascii="arial" w:eastAsia="arial" w:hAnsi="arial" w:cs="arial"/>
          <w:b w:val="0"/>
          <w:i w:val="0"/>
          <w:strike w:val="0"/>
          <w:noProof w:val="0"/>
          <w:color w:val="000000"/>
          <w:position w:val="0"/>
          <w:sz w:val="20"/>
          <w:u w:val="none"/>
          <w:vertAlign w:val="baseline"/>
        </w:rPr>
        <w:t xml:space="preserve">; </w:t>
      </w:r>
      <w:hyperlink r:id="rId80" w:history="1">
        <w:r>
          <w:rPr>
            <w:rFonts w:ascii="arial" w:eastAsia="arial" w:hAnsi="arial" w:cs="arial"/>
            <w:b w:val="0"/>
            <w:i/>
            <w:strike w:val="0"/>
            <w:noProof w:val="0"/>
            <w:color w:val="0077CC"/>
            <w:position w:val="0"/>
            <w:sz w:val="20"/>
            <w:u w:val="single"/>
            <w:shd w:val="clear" w:color="auto" w:fill="FFFFFF"/>
            <w:vertAlign w:val="baseline"/>
          </w:rPr>
          <w:t>OCGA § 9-11-11.1(b.1)</w:t>
        </w:r>
      </w:hyperlink>
      <w:r>
        <w:rPr>
          <w:rFonts w:ascii="arial" w:eastAsia="arial" w:hAnsi="arial" w:cs="arial"/>
          <w:b w:val="0"/>
          <w:i w:val="0"/>
          <w:strike w:val="0"/>
          <w:noProof w:val="0"/>
          <w:color w:val="000000"/>
          <w:position w:val="0"/>
          <w:sz w:val="20"/>
          <w:u w:val="none"/>
          <w:vertAlign w:val="baseline"/>
        </w:rPr>
        <w:t>. Accordingly, we affirm the trial court’s order awarding attorney fees to Flint.</w:t>
      </w:r>
      <w:r>
        <w:rPr>
          <w:rFonts w:ascii="arial" w:eastAsia="arial" w:hAnsi="arial" w:cs="arial"/>
          <w:vertAlign w:val="superscript"/>
        </w:rPr>
        <w:footnoteReference w:customMarkFollows="1" w:id="7"/>
        <w:t xml:space="preserve">6</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 </w:t>
      </w:r>
      <w:hyperlink r:id="rId81" w:history="1">
        <w:r>
          <w:rPr>
            <w:rFonts w:ascii="arial" w:eastAsia="arial" w:hAnsi="arial" w:cs="arial"/>
            <w:b w:val="0"/>
            <w:i/>
            <w:strike w:val="0"/>
            <w:noProof w:val="0"/>
            <w:color w:val="0077CC"/>
            <w:position w:val="0"/>
            <w:sz w:val="20"/>
            <w:u w:val="single"/>
            <w:shd w:val="clear" w:color="auto" w:fill="FFFFFF"/>
            <w:vertAlign w:val="baseline"/>
          </w:rPr>
          <w:t>OCGA § 9-15-14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next turn to the award of fees to Hanson under </w:t>
      </w:r>
      <w:hyperlink r:id="rId82" w:history="1">
        <w:r>
          <w:rPr>
            <w:rFonts w:ascii="arial" w:eastAsia="arial" w:hAnsi="arial" w:cs="arial"/>
            <w:b w:val="0"/>
            <w:i/>
            <w:strike w:val="0"/>
            <w:noProof w:val="0"/>
            <w:color w:val="0077CC"/>
            <w:position w:val="0"/>
            <w:sz w:val="20"/>
            <w:u w:val="single"/>
            <w:shd w:val="clear" w:color="auto" w:fill="FFFFFF"/>
            <w:vertAlign w:val="baseline"/>
          </w:rPr>
          <w:t>OCGA § 9-15-14</w:t>
        </w:r>
      </w:hyperlink>
      <w:r>
        <w:rPr>
          <w:rFonts w:ascii="arial" w:eastAsia="arial" w:hAnsi="arial" w:cs="arial"/>
          <w:b w:val="0"/>
          <w:i w:val="0"/>
          <w:strike w:val="0"/>
          <w:noProof w:val="0"/>
          <w:color w:val="000000"/>
          <w:position w:val="0"/>
          <w:sz w:val="20"/>
          <w:u w:val="none"/>
          <w:vertAlign w:val="baseline"/>
        </w:rPr>
        <w:t>. Trabue argues that it was premature to award fees under this statute because the underlying action remained pending. He further argues that the trial court’s order lacks the necessary findings to support the award, and that it failed to specify which statutory provision supported the amount awarded.</w:t>
      </w:r>
    </w:p>
    <w:p>
      <w:pPr>
        <w:keepNext w:val="0"/>
        <w:spacing w:before="240" w:after="0" w:line="260" w:lineRule="atLeast"/>
        <w:ind w:left="0" w:right="0" w:firstLine="0"/>
        <w:jc w:val="both"/>
      </w:pPr>
      <w:bookmarkStart w:id="90" w:name="Bookmark_I08HC7MM0KH003MK8G600C6K"/>
      <w:bookmarkEnd w:id="90"/>
      <w:bookmarkStart w:id="91" w:name="Bookmark_I08HC7MM1R5003MC99300CGS"/>
      <w:bookmarkEnd w:id="91"/>
      <w:bookmarkStart w:id="92" w:name="Bookmark_LNHNREFclscc6"/>
      <w:bookmarkEnd w:id="92"/>
      <w:r>
        <w:rPr>
          <w:rFonts w:ascii="arial" w:eastAsia="arial" w:hAnsi="arial" w:cs="arial"/>
          <w:b w:val="0"/>
          <w:i w:val="0"/>
          <w:strike w:val="0"/>
          <w:noProof w:val="0"/>
          <w:color w:val="000000"/>
          <w:position w:val="0"/>
          <w:sz w:val="20"/>
          <w:u w:val="none"/>
          <w:vertAlign w:val="baseline"/>
        </w:rPr>
        <w:t xml:space="preserve">When a trial court awards fees under </w:t>
      </w:r>
      <w:hyperlink r:id="rId83" w:history="1">
        <w:r>
          <w:rPr>
            <w:rFonts w:ascii="arial" w:eastAsia="arial" w:hAnsi="arial" w:cs="arial"/>
            <w:b w:val="0"/>
            <w:i/>
            <w:strike w:val="0"/>
            <w:noProof w:val="0"/>
            <w:color w:val="0077CC"/>
            <w:position w:val="0"/>
            <w:sz w:val="20"/>
            <w:u w:val="single"/>
            <w:shd w:val="clear" w:color="auto" w:fill="FFFFFF"/>
            <w:vertAlign w:val="baseline"/>
          </w:rPr>
          <w:t>OCGA § 9-15-14</w:t>
        </w:r>
      </w:hyperlink>
      <w:r>
        <w:rPr>
          <w:rFonts w:ascii="arial" w:eastAsia="arial" w:hAnsi="arial" w:cs="arial"/>
          <w:b w:val="0"/>
          <w:i w:val="0"/>
          <w:strike w:val="0"/>
          <w:noProof w:val="0"/>
          <w:color w:val="000000"/>
          <w:position w:val="0"/>
          <w:sz w:val="20"/>
          <w:u w:val="none"/>
          <w:vertAlign w:val="baseline"/>
        </w:rPr>
        <w:t xml:space="preserve">, it must make “express findings of fact and conclusions of law as to the statutory basis for any such award and the conduct which would authorize the award.” </w:t>
      </w:r>
      <w:bookmarkStart w:id="93" w:name="Bookmark_I08HC7MM0KH003MK8G600C6J"/>
      <w:bookmarkEnd w:id="93"/>
      <w:hyperlink r:id="rId84" w:history="1">
        <w:r>
          <w:rPr>
            <w:rFonts w:ascii="arial" w:eastAsia="arial" w:hAnsi="arial" w:cs="arial"/>
            <w:b w:val="0"/>
            <w:i/>
            <w:strike w:val="0"/>
            <w:noProof w:val="0"/>
            <w:color w:val="0077CC"/>
            <w:position w:val="0"/>
            <w:sz w:val="20"/>
            <w:u w:val="single"/>
            <w:shd w:val="clear" w:color="auto" w:fill="FFFFFF"/>
            <w:vertAlign w:val="baseline"/>
          </w:rPr>
          <w:t>Matthews v. Mills</w:t>
        </w:r>
      </w:hyperlink>
      <w:hyperlink r:id="rId85" w:history="1">
        <w:r>
          <w:rPr>
            <w:rFonts w:ascii="arial" w:eastAsia="arial" w:hAnsi="arial" w:cs="arial"/>
            <w:b w:val="0"/>
            <w:i/>
            <w:strike w:val="0"/>
            <w:noProof w:val="0"/>
            <w:color w:val="0077CC"/>
            <w:position w:val="0"/>
            <w:sz w:val="20"/>
            <w:u w:val="single"/>
            <w:shd w:val="clear" w:color="auto" w:fill="FFFFFF"/>
            <w:vertAlign w:val="baseline"/>
          </w:rPr>
          <w:t>, 357 Ga. App. 214, 221(2) (850 SE2d 424) (2020)</w:t>
        </w:r>
      </w:hyperlink>
      <w:r>
        <w:rPr>
          <w:rFonts w:ascii="arial" w:eastAsia="arial" w:hAnsi="arial" w:cs="arial"/>
          <w:b w:val="0"/>
          <w:i w:val="0"/>
          <w:strike w:val="0"/>
          <w:noProof w:val="0"/>
          <w:color w:val="000000"/>
          <w:position w:val="0"/>
          <w:sz w:val="20"/>
          <w:u w:val="none"/>
          <w:vertAlign w:val="baseline"/>
        </w:rPr>
        <w:t xml:space="preserve"> (quotation marks omitted). As we have explained, the statute serves dual purposes: “to both punish and deter litigation abuses and to recompense litigants who are forced to expend resources in contending with abusive litigation.” </w:t>
      </w:r>
      <w:bookmarkStart w:id="94" w:name="Bookmark_I08HC7MM1R5003MC99300CGR"/>
      <w:bookmarkEnd w:id="94"/>
      <w:hyperlink r:id="rId86" w:history="1">
        <w:r>
          <w:rPr>
            <w:rFonts w:ascii="arial" w:eastAsia="arial" w:hAnsi="arial" w:cs="arial"/>
            <w:b w:val="0"/>
            <w:i/>
            <w:strike w:val="0"/>
            <w:noProof w:val="0"/>
            <w:color w:val="0077CC"/>
            <w:position w:val="0"/>
            <w:sz w:val="20"/>
            <w:u w:val="single"/>
            <w:shd w:val="clear" w:color="auto" w:fill="FFFFFF"/>
            <w:vertAlign w:val="baseline"/>
          </w:rPr>
          <w:t>Hindu Temple and Cmty. Ctr. of the High Desert v. Raghunathan</w:t>
        </w:r>
      </w:hyperlink>
      <w:hyperlink r:id="rId87" w:history="1">
        <w:r>
          <w:rPr>
            <w:rFonts w:ascii="arial" w:eastAsia="arial" w:hAnsi="arial" w:cs="arial"/>
            <w:b w:val="0"/>
            <w:i/>
            <w:strike w:val="0"/>
            <w:noProof w:val="0"/>
            <w:color w:val="0077CC"/>
            <w:position w:val="0"/>
            <w:sz w:val="20"/>
            <w:u w:val="single"/>
            <w:shd w:val="clear" w:color="auto" w:fill="FFFFFF"/>
            <w:vertAlign w:val="baseline"/>
          </w:rPr>
          <w:t>, 311 Ga. App. 109, 118(3) (714 SE2d 628) (2011)</w:t>
        </w:r>
      </w:hyperlink>
      <w:r>
        <w:rPr>
          <w:rFonts w:ascii="arial" w:eastAsia="arial" w:hAnsi="arial" w:cs="arial"/>
          <w:b w:val="0"/>
          <w:i w:val="0"/>
          <w:strike w:val="0"/>
          <w:noProof w:val="0"/>
          <w:color w:val="000000"/>
          <w:position w:val="0"/>
          <w:sz w:val="20"/>
          <w:u w:val="none"/>
          <w:vertAlign w:val="baseline"/>
        </w:rPr>
        <w:t xml:space="preserve">; see also </w:t>
      </w:r>
      <w:bookmarkStart w:id="95" w:name="Bookmark_I08HC7MM1R5003MC99300CGT"/>
      <w:bookmarkEnd w:id="95"/>
      <w:hyperlink r:id="rId88" w:history="1">
        <w:r>
          <w:rPr>
            <w:rFonts w:ascii="arial" w:eastAsia="arial" w:hAnsi="arial" w:cs="arial"/>
            <w:b w:val="0"/>
            <w:i/>
            <w:strike w:val="0"/>
            <w:noProof w:val="0"/>
            <w:color w:val="0077CC"/>
            <w:position w:val="0"/>
            <w:sz w:val="20"/>
            <w:u w:val="single"/>
            <w:shd w:val="clear" w:color="auto" w:fill="FFFFFF"/>
            <w:vertAlign w:val="baseline"/>
          </w:rPr>
          <w:t>Abt v. Abt</w:t>
        </w:r>
      </w:hyperlink>
      <w:hyperlink r:id="rId89" w:history="1">
        <w:r>
          <w:rPr>
            <w:rFonts w:ascii="arial" w:eastAsia="arial" w:hAnsi="arial" w:cs="arial"/>
            <w:b w:val="0"/>
            <w:i/>
            <w:strike w:val="0"/>
            <w:noProof w:val="0"/>
            <w:color w:val="0077CC"/>
            <w:position w:val="0"/>
            <w:sz w:val="20"/>
            <w:u w:val="single"/>
            <w:shd w:val="clear" w:color="auto" w:fill="FFFFFF"/>
            <w:vertAlign w:val="baseline"/>
          </w:rPr>
          <w:t>, 289 Ga. 166, 167 (709 SE2d 806) (2011)</w:t>
        </w:r>
      </w:hyperlink>
      <w:r>
        <w:rPr>
          <w:rFonts w:ascii="arial" w:eastAsia="arial" w:hAnsi="arial" w:cs="arial"/>
          <w:b w:val="0"/>
          <w:i w:val="0"/>
          <w:strike w:val="0"/>
          <w:noProof w:val="0"/>
          <w:color w:val="000000"/>
          <w:position w:val="0"/>
          <w:sz w:val="20"/>
          <w:u w:val="none"/>
          <w:vertAlign w:val="baseline"/>
        </w:rPr>
        <w:t xml:space="preserve">; </w:t>
      </w:r>
      <w:bookmarkStart w:id="96" w:name="Bookmark_I08HC7MM1R5003MC99300CGW"/>
      <w:bookmarkEnd w:id="96"/>
      <w:hyperlink r:id="rId90" w:history="1">
        <w:r>
          <w:rPr>
            <w:rFonts w:ascii="arial" w:eastAsia="arial" w:hAnsi="arial" w:cs="arial"/>
            <w:b w:val="0"/>
            <w:i/>
            <w:strike w:val="0"/>
            <w:noProof w:val="0"/>
            <w:color w:val="0077CC"/>
            <w:position w:val="0"/>
            <w:sz w:val="20"/>
            <w:u w:val="single"/>
            <w:shd w:val="clear" w:color="auto" w:fill="FFFFFF"/>
            <w:vertAlign w:val="baseline"/>
          </w:rPr>
          <w:t>Doyle v. Haas</w:t>
        </w:r>
      </w:hyperlink>
      <w:hyperlink r:id="rId91" w:history="1">
        <w:r>
          <w:rPr>
            <w:rFonts w:ascii="arial" w:eastAsia="arial" w:hAnsi="arial" w:cs="arial"/>
            <w:b w:val="0"/>
            <w:i/>
            <w:strike w:val="0"/>
            <w:noProof w:val="0"/>
            <w:color w:val="0077CC"/>
            <w:position w:val="0"/>
            <w:sz w:val="20"/>
            <w:u w:val="single"/>
            <w:shd w:val="clear" w:color="auto" w:fill="FFFFFF"/>
            <w:vertAlign w:val="baseline"/>
          </w:rPr>
          <w:t>, 374 Ga. App. 558, 560–61 (1) (913 SE2d 437) (2025)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97" w:name="Bookmark_I08HC7MM3MP003MC99300CHH"/>
      <w:bookmarkEnd w:id="97"/>
      <w:bookmarkStart w:id="98" w:name="Bookmark_I08HC7MM3MP003MC99300CHK"/>
      <w:bookmarkEnd w:id="98"/>
      <w:bookmarkStart w:id="99" w:name="Bookmark_II08HC7PMMR6003RS3K3002CB"/>
      <w:bookmarkEnd w:id="99"/>
      <w:bookmarkStart w:id="100" w:name="Bookmark_II08HC7PMMR6003RS3K3002CC"/>
      <w:bookmarkEnd w:id="100"/>
      <w:bookmarkStart w:id="101" w:name="Bookmark_II08HC7PMMR6003RS3K3002CD"/>
      <w:bookmarkEnd w:id="101"/>
      <w:bookmarkStart w:id="102" w:name="Bookmark_I08HC7MMD73003MC99300CN8"/>
      <w:bookmarkEnd w:id="102"/>
      <w:bookmarkStart w:id="103" w:name="Bookmark_LNHNREFclscc7"/>
      <w:bookmarkEnd w:id="103"/>
      <w:r>
        <w:rPr>
          <w:rFonts w:ascii="arial" w:eastAsia="arial" w:hAnsi="arial" w:cs="arial"/>
          <w:b w:val="0"/>
          <w:i w:val="0"/>
          <w:strike w:val="0"/>
          <w:noProof w:val="0"/>
          <w:color w:val="000000"/>
          <w:position w:val="0"/>
          <w:sz w:val="20"/>
          <w:u w:val="none"/>
          <w:vertAlign w:val="baseline"/>
        </w:rPr>
        <w:t xml:space="preserve">Contrary to </w:t>
      </w:r>
      <w:bookmarkStart w:id="104" w:name="Bookmark__2"/>
      <w:bookmarkEnd w:id="104"/>
      <w:r>
        <w:rPr>
          <w:rFonts w:ascii="arial" w:eastAsia="arial" w:hAnsi="arial" w:cs="arial"/>
          <w:b w:val="0"/>
          <w:i w:val="0"/>
          <w:strike w:val="0"/>
          <w:noProof w:val="0"/>
          <w:color w:val="000000"/>
          <w:position w:val="0"/>
          <w:sz w:val="20"/>
          <w:u w:val="none"/>
          <w:vertAlign w:val="baseline"/>
        </w:rPr>
        <w:t xml:space="preserve">(2) </w:t>
      </w:r>
      <w:bookmarkStart w:id="105" w:name="Bookmark_I08HC7MMD73003MC99300CN8_2"/>
      <w:bookmarkEnd w:id="105"/>
      <w:bookmarkStart w:id="106" w:name="Bookmark_I08HC7MM3MP003MC99300CHK_2"/>
      <w:bookmarkEnd w:id="106"/>
      <w:bookmarkStart w:id="107" w:name="Bookmark_I08HC7MM3MP003MC99300CHH_2"/>
      <w:bookmarkEnd w:id="107"/>
      <w:r>
        <w:rPr>
          <w:rFonts w:ascii="arial" w:eastAsia="arial" w:hAnsi="arial" w:cs="arial"/>
          <w:b w:val="0"/>
          <w:i w:val="0"/>
          <w:strike w:val="0"/>
          <w:noProof w:val="0"/>
          <w:color w:val="000000"/>
          <w:position w:val="0"/>
          <w:sz w:val="20"/>
          <w:u w:val="none"/>
          <w:vertAlign w:val="baseline"/>
        </w:rPr>
        <w:t>Trabue’s claim that</w:t>
      </w:r>
      <w:r>
        <w:rPr>
          <w:rFonts w:ascii="arial" w:eastAsia="arial" w:hAnsi="arial" w:cs="arial"/>
          <w:b w:val="0"/>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Hanson’s motion for fees was premature or that the trial court lacked jurisdiction once the complaint was voluntarily dismissed, the statute permits a party to seek fees “any time during the course of the action” or within 45 days of the final judgment. </w:t>
      </w:r>
      <w:hyperlink r:id="rId92" w:history="1">
        <w:r>
          <w:rPr>
            <w:rFonts w:ascii="arial" w:eastAsia="arial" w:hAnsi="arial" w:cs="arial"/>
            <w:b w:val="0"/>
            <w:i/>
            <w:strike w:val="0"/>
            <w:noProof w:val="0"/>
            <w:color w:val="0077CC"/>
            <w:position w:val="0"/>
            <w:sz w:val="20"/>
            <w:u w:val="single"/>
            <w:shd w:val="clear" w:color="auto" w:fill="FFFFFF"/>
            <w:vertAlign w:val="baseline"/>
          </w:rPr>
          <w:t>OCGA § 9-15-14(e)</w:t>
        </w:r>
      </w:hyperlink>
      <w:r>
        <w:rPr>
          <w:rFonts w:ascii="arial" w:eastAsia="arial" w:hAnsi="arial" w:cs="arial"/>
          <w:b w:val="0"/>
          <w:i w:val="0"/>
          <w:strike w:val="0"/>
          <w:noProof w:val="0"/>
          <w:color w:val="000000"/>
          <w:position w:val="0"/>
          <w:sz w:val="20"/>
          <w:u w:val="none"/>
          <w:vertAlign w:val="baseline"/>
        </w:rPr>
        <w:t xml:space="preserve">; see also </w:t>
      </w:r>
      <w:bookmarkStart w:id="108" w:name="Bookmark_I08HC7MM3MP003MC99300CHG"/>
      <w:bookmarkEnd w:id="108"/>
      <w:hyperlink r:id="rId93" w:history="1">
        <w:r>
          <w:rPr>
            <w:rFonts w:ascii="arial" w:eastAsia="arial" w:hAnsi="arial" w:cs="arial"/>
            <w:b w:val="0"/>
            <w:i/>
            <w:strike w:val="0"/>
            <w:noProof w:val="0"/>
            <w:color w:val="0077CC"/>
            <w:position w:val="0"/>
            <w:sz w:val="20"/>
            <w:u w:val="single"/>
            <w:shd w:val="clear" w:color="auto" w:fill="FFFFFF"/>
            <w:vertAlign w:val="baseline"/>
          </w:rPr>
          <w:t>Colvin v. Chrisley</w:t>
        </w:r>
      </w:hyperlink>
      <w:hyperlink r:id="rId94" w:history="1">
        <w:r>
          <w:rPr>
            <w:rFonts w:ascii="arial" w:eastAsia="arial" w:hAnsi="arial" w:cs="arial"/>
            <w:b w:val="0"/>
            <w:i/>
            <w:strike w:val="0"/>
            <w:noProof w:val="0"/>
            <w:color w:val="0077CC"/>
            <w:position w:val="0"/>
            <w:sz w:val="20"/>
            <w:u w:val="single"/>
            <w:shd w:val="clear" w:color="auto" w:fill="FFFFFF"/>
            <w:vertAlign w:val="baseline"/>
          </w:rPr>
          <w:t>, 315 Ga. App. 486, 487(2) (727 SE2d 232) (2012)</w:t>
        </w:r>
      </w:hyperlink>
      <w:r>
        <w:rPr>
          <w:rFonts w:ascii="arial" w:eastAsia="arial" w:hAnsi="arial" w:cs="arial"/>
          <w:b w:val="0"/>
          <w:i w:val="0"/>
          <w:strike w:val="0"/>
          <w:noProof w:val="0"/>
          <w:color w:val="000000"/>
          <w:position w:val="0"/>
          <w:sz w:val="20"/>
          <w:u w:val="none"/>
          <w:vertAlign w:val="baseline"/>
        </w:rPr>
        <w:t xml:space="preserve">. Thus, even after a case is voluntarily dismissed, the trial court retains jurisdiction to award fees. See </w:t>
      </w:r>
      <w:bookmarkStart w:id="109" w:name="Bookmark_I08HC7MM3MP003MC99300CHJ"/>
      <w:bookmarkEnd w:id="109"/>
      <w:hyperlink r:id="rId95" w:history="1">
        <w:r>
          <w:rPr>
            <w:rFonts w:ascii="arial" w:eastAsia="arial" w:hAnsi="arial" w:cs="arial"/>
            <w:b w:val="0"/>
            <w:i/>
            <w:strike w:val="0"/>
            <w:noProof w:val="0"/>
            <w:color w:val="0077CC"/>
            <w:position w:val="0"/>
            <w:sz w:val="20"/>
            <w:u w:val="single"/>
            <w:shd w:val="clear" w:color="auto" w:fill="FFFFFF"/>
            <w:vertAlign w:val="baseline"/>
          </w:rPr>
          <w:t>Modi v. India-American Cultural Ass’n.</w:t>
        </w:r>
      </w:hyperlink>
      <w:hyperlink r:id="rId96" w:history="1">
        <w:r>
          <w:rPr>
            <w:rFonts w:ascii="arial" w:eastAsia="arial" w:hAnsi="arial" w:cs="arial"/>
            <w:b w:val="0"/>
            <w:i/>
            <w:strike w:val="0"/>
            <w:noProof w:val="0"/>
            <w:color w:val="0077CC"/>
            <w:position w:val="0"/>
            <w:sz w:val="20"/>
            <w:u w:val="single"/>
            <w:shd w:val="clear" w:color="auto" w:fill="FFFFFF"/>
            <w:vertAlign w:val="baseline"/>
          </w:rPr>
          <w:t>, 370 Ga. App. 458, 463(3)(b) (897 SE2d 86) (2024)</w:t>
        </w:r>
      </w:hyperlink>
      <w:r>
        <w:rPr>
          <w:rFonts w:ascii="arial" w:eastAsia="arial" w:hAnsi="arial" w:cs="arial"/>
          <w:b w:val="0"/>
          <w:i w:val="0"/>
          <w:strike w:val="0"/>
          <w:noProof w:val="0"/>
          <w:color w:val="000000"/>
          <w:position w:val="0"/>
          <w:sz w:val="20"/>
          <w:u w:val="none"/>
          <w:vertAlign w:val="baseline"/>
        </w:rPr>
        <w:t xml:space="preserve">; </w:t>
      </w:r>
      <w:bookmarkStart w:id="110" w:name="Bookmark_I08HC7MM4R8003MC99300CM0"/>
      <w:bookmarkEnd w:id="110"/>
      <w:hyperlink r:id="rId97" w:history="1">
        <w:r>
          <w:rPr>
            <w:rFonts w:ascii="arial" w:eastAsia="arial" w:hAnsi="arial" w:cs="arial"/>
            <w:b w:val="0"/>
            <w:i/>
            <w:strike w:val="0"/>
            <w:noProof w:val="0"/>
            <w:color w:val="0077CC"/>
            <w:position w:val="0"/>
            <w:sz w:val="20"/>
            <w:u w:val="single"/>
            <w:shd w:val="clear" w:color="auto" w:fill="FFFFFF"/>
            <w:vertAlign w:val="baseline"/>
          </w:rPr>
          <w:t>Harris v. Werner</w:t>
        </w:r>
      </w:hyperlink>
      <w:hyperlink r:id="rId98" w:history="1">
        <w:r>
          <w:rPr>
            <w:rFonts w:ascii="arial" w:eastAsia="arial" w:hAnsi="arial" w:cs="arial"/>
            <w:b w:val="0"/>
            <w:i/>
            <w:strike w:val="0"/>
            <w:noProof w:val="0"/>
            <w:color w:val="0077CC"/>
            <w:position w:val="0"/>
            <w:sz w:val="20"/>
            <w:u w:val="single"/>
            <w:shd w:val="clear" w:color="auto" w:fill="FFFFFF"/>
            <w:vertAlign w:val="baseline"/>
          </w:rPr>
          <w:t>, 278 Ga. App. 166, 167 (628 SE2d 230) (2006)</w:t>
        </w:r>
      </w:hyperlink>
      <w:r>
        <w:rPr>
          <w:rFonts w:ascii="arial" w:eastAsia="arial" w:hAnsi="arial" w:cs="arial"/>
          <w:b w:val="0"/>
          <w:i w:val="0"/>
          <w:strike w:val="0"/>
          <w:noProof w:val="0"/>
          <w:color w:val="000000"/>
          <w:position w:val="0"/>
          <w:sz w:val="20"/>
          <w:u w:val="none"/>
          <w:vertAlign w:val="baseline"/>
        </w:rPr>
        <w:t xml:space="preserve"> (trial court had jurisdiction to rule on </w:t>
      </w:r>
      <w:hyperlink r:id="rId99" w:history="1">
        <w:r>
          <w:rPr>
            <w:rFonts w:ascii="arial" w:eastAsia="arial" w:hAnsi="arial" w:cs="arial"/>
            <w:b w:val="0"/>
            <w:i/>
            <w:strike w:val="0"/>
            <w:noProof w:val="0"/>
            <w:color w:val="0077CC"/>
            <w:position w:val="0"/>
            <w:sz w:val="20"/>
            <w:u w:val="single"/>
            <w:shd w:val="clear" w:color="auto" w:fill="FFFFFF"/>
            <w:vertAlign w:val="baseline"/>
          </w:rPr>
          <w:t>OCGA § 9-15-14</w:t>
        </w:r>
      </w:hyperlink>
      <w:r>
        <w:rPr>
          <w:rFonts w:ascii="arial" w:eastAsia="arial" w:hAnsi="arial" w:cs="arial"/>
          <w:b w:val="0"/>
          <w:i w:val="0"/>
          <w:strike w:val="0"/>
          <w:noProof w:val="0"/>
          <w:color w:val="000000"/>
          <w:position w:val="0"/>
          <w:sz w:val="20"/>
          <w:u w:val="none"/>
          <w:vertAlign w:val="baseline"/>
        </w:rPr>
        <w:t xml:space="preserve"> motion even after plaintiff voluntarily dismissed suit).</w:t>
      </w:r>
      <w:r>
        <w:rPr>
          <w:rFonts w:ascii="arial" w:eastAsia="arial" w:hAnsi="arial" w:cs="arial"/>
          <w:vertAlign w:val="superscript"/>
        </w:rPr>
        <w:footnoteReference w:customMarkFollows="1" w:id="8"/>
        <w:t xml:space="preserve">7</w:t>
      </w:r>
      <w:r>
        <w:rPr>
          <w:rFonts w:ascii="arial" w:eastAsia="arial" w:hAnsi="arial" w:cs="arial"/>
          <w:b w:val="0"/>
          <w:i w:val="0"/>
          <w:strike w:val="0"/>
          <w:noProof w:val="0"/>
          <w:color w:val="000000"/>
          <w:position w:val="0"/>
          <w:sz w:val="20"/>
          <w:u w:val="none"/>
          <w:vertAlign w:val="baseline"/>
        </w:rPr>
        <w:t xml:space="preserve"> Nevertheless, we have held that it is not appropriate to grant fees based </w:t>
      </w:r>
      <w:r>
        <w:rPr>
          <w:rFonts w:ascii="arial" w:eastAsia="arial" w:hAnsi="arial" w:cs="arial"/>
          <w:b w:val="0"/>
          <w:i/>
          <w:strike w:val="0"/>
          <w:noProof w:val="0"/>
          <w:color w:val="000000"/>
          <w:position w:val="0"/>
          <w:sz w:val="20"/>
          <w:u w:val="none"/>
          <w:vertAlign w:val="baseline"/>
        </w:rPr>
        <w:t>solely</w:t>
      </w:r>
      <w:r>
        <w:rPr>
          <w:rFonts w:ascii="arial" w:eastAsia="arial" w:hAnsi="arial" w:cs="arial"/>
          <w:b w:val="0"/>
          <w:i w:val="0"/>
          <w:strike w:val="0"/>
          <w:noProof w:val="0"/>
          <w:color w:val="000000"/>
          <w:position w:val="0"/>
          <w:sz w:val="20"/>
          <w:u w:val="none"/>
          <w:vertAlign w:val="baseline"/>
        </w:rPr>
        <w:t xml:space="preserve"> on the fact that the plaintiff voluntarily dismissed the suit. See </w:t>
      </w:r>
      <w:r>
        <w:rPr>
          <w:rFonts w:ascii="arial" w:eastAsia="arial" w:hAnsi="arial" w:cs="arial"/>
          <w:b w:val="0"/>
          <w:i w:val="0"/>
          <w:strike w:val="0"/>
          <w:noProof w:val="0"/>
          <w:color w:val="000000"/>
          <w:position w:val="0"/>
          <w:sz w:val="20"/>
          <w:u w:val="none"/>
          <w:vertAlign w:val="baseline"/>
        </w:rPr>
        <w:t> [*457] </w:t>
      </w:r>
      <w:bookmarkStart w:id="115" w:name="Bookmark_I08HC7MM4R8003MC99300CM2"/>
      <w:bookmarkEnd w:id="115"/>
      <w:hyperlink r:id="rId100" w:history="1">
        <w:r>
          <w:rPr>
            <w:rFonts w:ascii="arial" w:eastAsia="arial" w:hAnsi="arial" w:cs="arial"/>
            <w:b w:val="0"/>
            <w:i/>
            <w:strike w:val="0"/>
            <w:noProof w:val="0"/>
            <w:color w:val="0077CC"/>
            <w:position w:val="0"/>
            <w:sz w:val="20"/>
            <w:u w:val="single"/>
            <w:shd w:val="clear" w:color="auto" w:fill="FFFFFF"/>
            <w:vertAlign w:val="baseline"/>
          </w:rPr>
          <w:t>Griggs v. Columbus Bank &amp; Trust Co.</w:t>
        </w:r>
      </w:hyperlink>
      <w:hyperlink r:id="rId101" w:history="1">
        <w:r>
          <w:rPr>
            <w:rFonts w:ascii="arial" w:eastAsia="arial" w:hAnsi="arial" w:cs="arial"/>
            <w:b w:val="0"/>
            <w:i/>
            <w:strike w:val="0"/>
            <w:noProof w:val="0"/>
            <w:color w:val="0077CC"/>
            <w:position w:val="0"/>
            <w:sz w:val="20"/>
            <w:u w:val="single"/>
            <w:shd w:val="clear" w:color="auto" w:fill="FFFFFF"/>
            <w:vertAlign w:val="baseline"/>
          </w:rPr>
          <w:t>, 188 Ga. App. 741, 743 (374 SE2d 347) (1988)</w:t>
        </w:r>
      </w:hyperlink>
      <w:r>
        <w:rPr>
          <w:rFonts w:ascii="arial" w:eastAsia="arial" w:hAnsi="arial" w:cs="arial"/>
          <w:b w:val="0"/>
          <w:i w:val="0"/>
          <w:strike w:val="0"/>
          <w:noProof w:val="0"/>
          <w:color w:val="000000"/>
          <w:position w:val="0"/>
          <w:sz w:val="20"/>
          <w:u w:val="none"/>
          <w:vertAlign w:val="baseline"/>
        </w:rPr>
        <w:t xml:space="preserve">; compare </w:t>
      </w:r>
      <w:bookmarkStart w:id="116" w:name="Bookmark_I08HC7MM4R8003MC99300CM4"/>
      <w:bookmarkEnd w:id="116"/>
      <w:hyperlink r:id="rId102" w:history="1">
        <w:r>
          <w:rPr>
            <w:rFonts w:ascii="arial" w:eastAsia="arial" w:hAnsi="arial" w:cs="arial"/>
            <w:b w:val="0"/>
            <w:i/>
            <w:strike w:val="0"/>
            <w:noProof w:val="0"/>
            <w:color w:val="0077CC"/>
            <w:position w:val="0"/>
            <w:sz w:val="20"/>
            <w:u w:val="single"/>
            <w:shd w:val="clear" w:color="auto" w:fill="FFFFFF"/>
            <w:vertAlign w:val="baseline"/>
          </w:rPr>
          <w:t>Hart v. Redmond Regional Med. Ctr.</w:t>
        </w:r>
      </w:hyperlink>
      <w:hyperlink r:id="rId103" w:history="1">
        <w:r>
          <w:rPr>
            <w:rFonts w:ascii="arial" w:eastAsia="arial" w:hAnsi="arial" w:cs="arial"/>
            <w:b w:val="0"/>
            <w:i/>
            <w:strike w:val="0"/>
            <w:noProof w:val="0"/>
            <w:color w:val="0077CC"/>
            <w:position w:val="0"/>
            <w:sz w:val="20"/>
            <w:u w:val="single"/>
            <w:shd w:val="clear" w:color="auto" w:fill="FFFFFF"/>
            <w:vertAlign w:val="baseline"/>
          </w:rPr>
          <w:t>, 300 Ga. App. 641, 643–44 (2) (686 SE2d 130) (2009)</w:t>
        </w:r>
      </w:hyperlink>
      <w:r>
        <w:rPr>
          <w:rFonts w:ascii="arial" w:eastAsia="arial" w:hAnsi="arial" w:cs="arial"/>
          <w:b w:val="0"/>
          <w:i w:val="0"/>
          <w:strike w:val="0"/>
          <w:noProof w:val="0"/>
          <w:color w:val="000000"/>
          <w:position w:val="0"/>
          <w:sz w:val="20"/>
          <w:u w:val="none"/>
          <w:vertAlign w:val="baseline"/>
        </w:rPr>
        <w:t xml:space="preserve"> (fees under </w:t>
      </w:r>
      <w:hyperlink r:id="rId104" w:history="1">
        <w:r>
          <w:rPr>
            <w:rFonts w:ascii="arial" w:eastAsia="arial" w:hAnsi="arial" w:cs="arial"/>
            <w:b w:val="0"/>
            <w:i/>
            <w:strike w:val="0"/>
            <w:noProof w:val="0"/>
            <w:color w:val="0077CC"/>
            <w:position w:val="0"/>
            <w:sz w:val="20"/>
            <w:u w:val="single"/>
            <w:shd w:val="clear" w:color="auto" w:fill="FFFFFF"/>
            <w:vertAlign w:val="baseline"/>
          </w:rPr>
          <w:t>OCGA § 9-15-14</w:t>
        </w:r>
      </w:hyperlink>
      <w:r>
        <w:rPr>
          <w:rFonts w:ascii="arial" w:eastAsia="arial" w:hAnsi="arial" w:cs="arial"/>
          <w:b w:val="0"/>
          <w:i w:val="0"/>
          <w:strike w:val="0"/>
          <w:noProof w:val="0"/>
          <w:color w:val="000000"/>
          <w:position w:val="0"/>
          <w:sz w:val="20"/>
          <w:u w:val="none"/>
          <w:vertAlign w:val="baseline"/>
        </w:rPr>
        <w:t xml:space="preserve"> warranted where plaintiff hampered discovery prior to dismissing suit).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now turn to the two specific provisions under which the trial court awarded fees.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t>
      </w:r>
      <w:hyperlink r:id="rId105" w:history="1">
        <w:r>
          <w:rPr>
            <w:rFonts w:ascii="arial" w:eastAsia="arial" w:hAnsi="arial" w:cs="arial"/>
            <w:b w:val="0"/>
            <w:i/>
            <w:strike w:val="0"/>
            <w:noProof w:val="0"/>
            <w:color w:val="0077CC"/>
            <w:position w:val="0"/>
            <w:sz w:val="20"/>
            <w:u w:val="single"/>
            <w:shd w:val="clear" w:color="auto" w:fill="FFFFFF"/>
            <w:vertAlign w:val="baseline"/>
          </w:rPr>
          <w:t>OCGA § 9-15-14(a)</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17" w:name="Bookmark_I08HC7MMKK4003MC99300CSC"/>
      <w:bookmarkEnd w:id="117"/>
      <w:bookmarkStart w:id="118" w:name="Bookmark_I08HC7MMSN1003MC99300CW9"/>
      <w:bookmarkEnd w:id="118"/>
      <w:bookmarkStart w:id="119" w:name="Bookmark_LNHNREFclscc8"/>
      <w:bookmarkEnd w:id="119"/>
      <w:r>
        <w:rPr>
          <w:rFonts w:ascii="arial" w:eastAsia="arial" w:hAnsi="arial" w:cs="arial"/>
          <w:b w:val="0"/>
          <w:i w:val="0"/>
          <w:strike w:val="0"/>
          <w:noProof w:val="0"/>
          <w:color w:val="000000"/>
          <w:position w:val="0"/>
          <w:sz w:val="20"/>
          <w:u w:val="none"/>
          <w:vertAlign w:val="baseline"/>
        </w:rPr>
        <w:t xml:space="preserve">A party is entitled to fees under </w:t>
      </w:r>
      <w:hyperlink r:id="rId106" w:history="1">
        <w:r>
          <w:rPr>
            <w:rFonts w:ascii="arial" w:eastAsia="arial" w:hAnsi="arial" w:cs="arial"/>
            <w:b w:val="0"/>
            <w:i/>
            <w:strike w:val="0"/>
            <w:noProof w:val="0"/>
            <w:color w:val="0077CC"/>
            <w:position w:val="0"/>
            <w:sz w:val="20"/>
            <w:u w:val="single"/>
            <w:shd w:val="clear" w:color="auto" w:fill="FFFFFF"/>
            <w:vertAlign w:val="baseline"/>
          </w:rPr>
          <w:t>OCGA § 9-15-14(a)</w:t>
        </w:r>
      </w:hyperlink>
      <w:r>
        <w:rPr>
          <w:rFonts w:ascii="arial" w:eastAsia="arial" w:hAnsi="arial" w:cs="arial"/>
          <w:b w:val="0"/>
          <w:i w:val="0"/>
          <w:strike w:val="0"/>
          <w:noProof w:val="0"/>
          <w:color w:val="000000"/>
          <w:position w:val="0"/>
          <w:sz w:val="20"/>
          <w:u w:val="none"/>
          <w:vertAlign w:val="baseline"/>
        </w:rPr>
        <w:t xml:space="preserve"> if he or she filed a claim with “such a complete absence of any justiciable issue of law or fact” that he or she “could not reasonably have believed that the court would accept it.” </w:t>
      </w:r>
      <w:bookmarkStart w:id="120" w:name="Bookmark_I08HC7MMKK4003MC99300CSB"/>
      <w:bookmarkEnd w:id="120"/>
      <w:hyperlink r:id="rId107" w:history="1">
        <w:r>
          <w:rPr>
            <w:rFonts w:ascii="arial" w:eastAsia="arial" w:hAnsi="arial" w:cs="arial"/>
            <w:b w:val="0"/>
            <w:i/>
            <w:strike w:val="0"/>
            <w:noProof w:val="0"/>
            <w:color w:val="0077CC"/>
            <w:position w:val="0"/>
            <w:sz w:val="20"/>
            <w:u w:val="single"/>
            <w:shd w:val="clear" w:color="auto" w:fill="FFFFFF"/>
            <w:vertAlign w:val="baseline"/>
          </w:rPr>
          <w:t>Shoenthal v. DeKalb County Emps. Retirement System Pension Bd.</w:t>
        </w:r>
      </w:hyperlink>
      <w:hyperlink r:id="rId108" w:history="1">
        <w:r>
          <w:rPr>
            <w:rFonts w:ascii="arial" w:eastAsia="arial" w:hAnsi="arial" w:cs="arial"/>
            <w:b w:val="0"/>
            <w:i/>
            <w:strike w:val="0"/>
            <w:noProof w:val="0"/>
            <w:color w:val="0077CC"/>
            <w:position w:val="0"/>
            <w:sz w:val="20"/>
            <w:u w:val="single"/>
            <w:shd w:val="clear" w:color="auto" w:fill="FFFFFF"/>
            <w:vertAlign w:val="baseline"/>
          </w:rPr>
          <w:t>, 343 Ga. App. 27, 30 (805 SE2d 650) (2017)</w:t>
        </w:r>
      </w:hyperlink>
      <w:r>
        <w:rPr>
          <w:rFonts w:ascii="arial" w:eastAsia="arial" w:hAnsi="arial" w:cs="arial"/>
          <w:b w:val="0"/>
          <w:i w:val="0"/>
          <w:strike w:val="0"/>
          <w:noProof w:val="0"/>
          <w:color w:val="000000"/>
          <w:position w:val="0"/>
          <w:sz w:val="20"/>
          <w:u w:val="none"/>
          <w:vertAlign w:val="baseline"/>
        </w:rPr>
        <w:t xml:space="preserve"> (quotation marks omitted); </w:t>
      </w:r>
      <w:hyperlink r:id="rId109" w:history="1">
        <w:r>
          <w:rPr>
            <w:rFonts w:ascii="arial" w:eastAsia="arial" w:hAnsi="arial" w:cs="arial"/>
            <w:b w:val="0"/>
            <w:i/>
            <w:strike w:val="0"/>
            <w:noProof w:val="0"/>
            <w:color w:val="0077CC"/>
            <w:position w:val="0"/>
            <w:sz w:val="20"/>
            <w:u w:val="single"/>
            <w:shd w:val="clear" w:color="auto" w:fill="FFFFFF"/>
            <w:vertAlign w:val="baseline"/>
          </w:rPr>
          <w:t>OCGA § 9-15-14(a)</w:t>
        </w:r>
      </w:hyperlink>
      <w:r>
        <w:rPr>
          <w:rFonts w:ascii="arial" w:eastAsia="arial" w:hAnsi="arial" w:cs="arial"/>
          <w:b w:val="0"/>
          <w:i w:val="0"/>
          <w:strike w:val="0"/>
          <w:noProof w:val="0"/>
          <w:color w:val="000000"/>
          <w:position w:val="0"/>
          <w:sz w:val="20"/>
          <w:u w:val="none"/>
          <w:vertAlign w:val="baseline"/>
        </w:rPr>
        <w:t xml:space="preserve">. We review the trial court’s </w:t>
      </w:r>
      <w:r>
        <w:rPr>
          <w:rFonts w:ascii="arial" w:eastAsia="arial" w:hAnsi="arial" w:cs="arial"/>
          <w:b w:val="0"/>
          <w:i w:val="0"/>
          <w:strike w:val="0"/>
          <w:noProof w:val="0"/>
          <w:color w:val="000000"/>
          <w:position w:val="0"/>
          <w:sz w:val="20"/>
          <w:u w:val="none"/>
          <w:vertAlign w:val="baseline"/>
        </w:rPr>
        <w:t> [**691] </w:t>
      </w:r>
      <w:r>
        <w:rPr>
          <w:rFonts w:ascii="arial" w:eastAsia="arial" w:hAnsi="arial" w:cs="arial"/>
          <w:b w:val="0"/>
          <w:i w:val="0"/>
          <w:strike w:val="0"/>
          <w:noProof w:val="0"/>
          <w:color w:val="000000"/>
          <w:position w:val="0"/>
          <w:sz w:val="20"/>
          <w:u w:val="none"/>
          <w:vertAlign w:val="baseline"/>
        </w:rPr>
        <w:t xml:space="preserve"> ruling under the any evidence standard. </w:t>
      </w:r>
      <w:bookmarkStart w:id="121" w:name="Bookmark_I08HC7MMSN1003MC99300CWC"/>
      <w:bookmarkEnd w:id="121"/>
      <w:bookmarkStart w:id="122" w:name="Bookmark_I08HC7MMKK4003MC99300CSD"/>
      <w:bookmarkEnd w:id="122"/>
      <w:hyperlink r:id="rId110" w:history="1">
        <w:r>
          <w:rPr>
            <w:rFonts w:ascii="arial" w:eastAsia="arial" w:hAnsi="arial" w:cs="arial"/>
            <w:b w:val="0"/>
            <w:i/>
            <w:strike w:val="0"/>
            <w:noProof w:val="0"/>
            <w:color w:val="0077CC"/>
            <w:position w:val="0"/>
            <w:sz w:val="20"/>
            <w:u w:val="single"/>
            <w:shd w:val="clear" w:color="auto" w:fill="FFFFFF"/>
            <w:vertAlign w:val="baseline"/>
          </w:rPr>
          <w:t>Shoenthal</w:t>
        </w:r>
      </w:hyperlink>
      <w:hyperlink r:id="rId111" w:history="1">
        <w:r>
          <w:rPr>
            <w:rFonts w:ascii="arial" w:eastAsia="arial" w:hAnsi="arial" w:cs="arial"/>
            <w:b w:val="0"/>
            <w:i/>
            <w:strike w:val="0"/>
            <w:noProof w:val="0"/>
            <w:color w:val="0077CC"/>
            <w:position w:val="0"/>
            <w:sz w:val="20"/>
            <w:u w:val="single"/>
            <w:shd w:val="clear" w:color="auto" w:fill="FFFFFF"/>
            <w:vertAlign w:val="baseline"/>
          </w:rPr>
          <w:t>, 343 Ga. App. at 30</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400" w:right="0" w:firstLine="0"/>
        <w:jc w:val="both"/>
      </w:pPr>
      <w:bookmarkStart w:id="123" w:name="Bookmark_I08HC7MMSN1003MC99300CWC_2"/>
      <w:bookmarkEnd w:id="123"/>
      <w:bookmarkStart w:id="124" w:name="Bookmark_LNHNREFclscc9"/>
      <w:bookmarkEnd w:id="124"/>
      <w:r>
        <w:rPr>
          <w:rFonts w:ascii="arial" w:eastAsia="arial" w:hAnsi="arial" w:cs="arial"/>
          <w:b w:val="0"/>
          <w:i w:val="0"/>
          <w:strike w:val="0"/>
          <w:noProof w:val="0"/>
          <w:color w:val="000000"/>
          <w:position w:val="0"/>
          <w:sz w:val="20"/>
          <w:u w:val="none"/>
          <w:vertAlign w:val="baseline"/>
        </w:rPr>
        <w:t>To the extent that the evidence relevant to the question of attorney</w:t>
      </w:r>
      <w:r>
        <w:rPr>
          <w:rFonts w:ascii="arial" w:eastAsia="arial" w:hAnsi="arial" w:cs="arial"/>
          <w:b w:val="0"/>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fees consists of the state of the law, we make our own assessment of that evidence and decide for ourselves whether the claim asserted below presented a justiciable issue of law. Moreover, the mere fact that the [defendant] prevailed on its motion ... does not mandate an award of attorney fees.</w:t>
      </w:r>
    </w:p>
    <w:p>
      <w:pPr>
        <w:keepNext w:val="0"/>
        <w:spacing w:before="240" w:after="0" w:line="260" w:lineRule="atLeast"/>
        <w:ind w:left="0" w:right="0" w:firstLine="0"/>
        <w:jc w:val="both"/>
      </w:pPr>
      <w:bookmarkStart w:id="125" w:name="Bookmark_I08HC7MMSN1003MC99300CWC_3"/>
      <w:bookmarkEnd w:id="125"/>
      <w:bookmarkStart w:id="126" w:name="Bookmark_I08HC7MMSN1003MC99300CWF"/>
      <w:bookmarkEnd w:id="126"/>
      <w:bookmarkStart w:id="127" w:name="Bookmark_I08HC7MMSN1003MC99300CWB"/>
      <w:bookmarkEnd w:id="127"/>
      <w:hyperlink r:id="rId112" w:history="1">
        <w:r>
          <w:rPr>
            <w:rFonts w:ascii="arial" w:eastAsia="arial" w:hAnsi="arial" w:cs="arial"/>
            <w:b w:val="0"/>
            <w:i/>
            <w:strike w:val="0"/>
            <w:color w:val="0077CC"/>
            <w:sz w:val="20"/>
            <w:u w:val="single"/>
            <w:shd w:val="clear" w:color="auto" w:fill="FFFFFF"/>
            <w:vertAlign w:val="baseline"/>
          </w:rPr>
          <w:t>Shoenthal</w:t>
        </w:r>
      </w:hyperlink>
      <w:hyperlink r:id="rId113" w:history="1">
        <w:r>
          <w:rPr>
            <w:rFonts w:ascii="arial" w:eastAsia="arial" w:hAnsi="arial" w:cs="arial"/>
            <w:b w:val="0"/>
            <w:i/>
            <w:strike w:val="0"/>
            <w:color w:val="0077CC"/>
            <w:sz w:val="20"/>
            <w:u w:val="single"/>
            <w:shd w:val="clear" w:color="auto" w:fill="FFFFFF"/>
            <w:vertAlign w:val="baseline"/>
          </w:rPr>
          <w:t>, 343 Ga. App. at 30</w:t>
        </w:r>
      </w:hyperlink>
      <w:r>
        <w:rPr>
          <w:rFonts w:ascii="arial" w:eastAsia="arial" w:hAnsi="arial" w:cs="arial"/>
          <w:b w:val="0"/>
          <w:i w:val="0"/>
          <w:strike w:val="0"/>
          <w:noProof w:val="0"/>
          <w:color w:val="000000"/>
          <w:position w:val="0"/>
          <w:sz w:val="20"/>
          <w:u w:val="none"/>
          <w:vertAlign w:val="baseline"/>
        </w:rPr>
        <w:t xml:space="preserve"> (citation and punctuation omitted). </w:t>
      </w:r>
      <w:bookmarkStart w:id="128" w:name="Bookmark_I08HC7MMSN1003MC99300CWF_2"/>
      <w:bookmarkEnd w:id="128"/>
      <w:r>
        <w:rPr>
          <w:rFonts w:ascii="arial" w:eastAsia="arial" w:hAnsi="arial" w:cs="arial"/>
          <w:b w:val="0"/>
          <w:i w:val="0"/>
          <w:strike w:val="0"/>
          <w:noProof w:val="0"/>
          <w:color w:val="000000"/>
          <w:position w:val="0"/>
          <w:sz w:val="20"/>
          <w:u w:val="none"/>
          <w:vertAlign w:val="baseline"/>
        </w:rPr>
        <w:t xml:space="preserve">Importantly, fees under this subsection are mandatory where the trial court finds there was no justiciable claim. See </w:t>
      </w:r>
      <w:bookmarkStart w:id="129" w:name="Bookmark_I08HC7MMSN1003MC99300CWD"/>
      <w:bookmarkEnd w:id="129"/>
      <w:hyperlink r:id="rId114" w:history="1">
        <w:r>
          <w:rPr>
            <w:rFonts w:ascii="arial" w:eastAsia="arial" w:hAnsi="arial" w:cs="arial"/>
            <w:b w:val="0"/>
            <w:i/>
            <w:strike w:val="0"/>
            <w:noProof w:val="0"/>
            <w:color w:val="0077CC"/>
            <w:position w:val="0"/>
            <w:sz w:val="20"/>
            <w:u w:val="single"/>
            <w:shd w:val="clear" w:color="auto" w:fill="FFFFFF"/>
            <w:vertAlign w:val="baseline"/>
          </w:rPr>
          <w:t>Bircoll v. Rosenthal</w:t>
        </w:r>
      </w:hyperlink>
      <w:hyperlink r:id="rId115" w:history="1">
        <w:r>
          <w:rPr>
            <w:rFonts w:ascii="arial" w:eastAsia="arial" w:hAnsi="arial" w:cs="arial"/>
            <w:b w:val="0"/>
            <w:i/>
            <w:strike w:val="0"/>
            <w:noProof w:val="0"/>
            <w:color w:val="0077CC"/>
            <w:position w:val="0"/>
            <w:sz w:val="20"/>
            <w:u w:val="single"/>
            <w:shd w:val="clear" w:color="auto" w:fill="FFFFFF"/>
            <w:vertAlign w:val="baseline"/>
          </w:rPr>
          <w:t>, 267 Ga. App. 431 (600 SE2d 388) (2004)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30" w:name="Bookmark_I08HC7MMT29003MC99300CWP"/>
      <w:bookmarkEnd w:id="130"/>
      <w:r>
        <w:rPr>
          <w:rFonts w:ascii="arial" w:eastAsia="arial" w:hAnsi="arial" w:cs="arial"/>
          <w:b w:val="0"/>
          <w:i w:val="0"/>
          <w:strike w:val="0"/>
          <w:noProof w:val="0"/>
          <w:color w:val="000000"/>
          <w:position w:val="0"/>
          <w:sz w:val="20"/>
          <w:u w:val="none"/>
          <w:vertAlign w:val="baseline"/>
        </w:rPr>
        <w:t xml:space="preserve">Here, the trial court found that there was no dispute that the abusive litigation suit was “untimely,” and, as a result, the trial court found there was no justiciable issue, and that Hanson was entitled to fees under </w:t>
      </w:r>
      <w:hyperlink r:id="rId116" w:history="1">
        <w:r>
          <w:rPr>
            <w:rFonts w:ascii="arial" w:eastAsia="arial" w:hAnsi="arial" w:cs="arial"/>
            <w:b w:val="0"/>
            <w:i/>
            <w:strike w:val="0"/>
            <w:noProof w:val="0"/>
            <w:color w:val="0077CC"/>
            <w:position w:val="0"/>
            <w:sz w:val="20"/>
            <w:u w:val="single"/>
            <w:shd w:val="clear" w:color="auto" w:fill="FFFFFF"/>
            <w:vertAlign w:val="baseline"/>
          </w:rPr>
          <w:t>OCGA § 9-15-14(a)</w:t>
        </w:r>
      </w:hyperlink>
      <w:r>
        <w:rPr>
          <w:rFonts w:ascii="arial" w:eastAsia="arial" w:hAnsi="arial" w:cs="arial"/>
          <w:b w:val="0"/>
          <w:i w:val="0"/>
          <w:strike w:val="0"/>
          <w:noProof w:val="0"/>
          <w:color w:val="000000"/>
          <w:position w:val="0"/>
          <w:sz w:val="20"/>
          <w:u w:val="none"/>
          <w:vertAlign w:val="baseline"/>
        </w:rPr>
        <w:t xml:space="preserve">. </w:t>
      </w:r>
      <w:bookmarkStart w:id="131" w:name="Bookmark__3"/>
      <w:bookmarkEnd w:id="131"/>
      <w:r>
        <w:rPr>
          <w:rFonts w:ascii="arial" w:eastAsia="arial" w:hAnsi="arial" w:cs="arial"/>
          <w:b w:val="0"/>
          <w:i w:val="0"/>
          <w:strike w:val="0"/>
          <w:noProof w:val="0"/>
          <w:color w:val="000000"/>
          <w:position w:val="0"/>
          <w:sz w:val="20"/>
          <w:u w:val="none"/>
          <w:vertAlign w:val="baseline"/>
        </w:rPr>
        <w:t xml:space="preserve">(3) </w:t>
      </w:r>
      <w:bookmarkStart w:id="132" w:name="Bookmark_I08HC7MMTV4003MK8G600C7Y"/>
      <w:bookmarkEnd w:id="132"/>
      <w:bookmarkStart w:id="133" w:name="Bookmark_I08HC7MMT29003MC99300CWP_2"/>
      <w:bookmarkEnd w:id="133"/>
      <w:r>
        <w:rPr>
          <w:rFonts w:ascii="arial" w:eastAsia="arial" w:hAnsi="arial" w:cs="arial"/>
          <w:b w:val="0"/>
          <w:i w:val="0"/>
          <w:strike w:val="0"/>
          <w:noProof w:val="0"/>
          <w:color w:val="000000"/>
          <w:position w:val="0"/>
          <w:sz w:val="20"/>
          <w:u w:val="none"/>
          <w:vertAlign w:val="baseline"/>
        </w:rPr>
        <w:t>Pretermitting whether the trial court correctly applied the statute of limitation to find the complaint untimely, Trabue concedes that the suit was premature, as the underlying litigation had not terminated.</w:t>
      </w:r>
      <w:r>
        <w:rPr>
          <w:rFonts w:ascii="arial" w:eastAsia="arial" w:hAnsi="arial" w:cs="arial"/>
          <w:vertAlign w:val="superscript"/>
        </w:rPr>
        <w:footnoteReference w:customMarkFollows="1" w:id="9"/>
        <w:t xml:space="preserve">8</w:t>
      </w:r>
      <w:r>
        <w:rPr>
          <w:rFonts w:ascii="arial" w:eastAsia="arial" w:hAnsi="arial" w:cs="arial"/>
          <w:b w:val="0"/>
          <w:i w:val="0"/>
          <w:strike w:val="0"/>
          <w:noProof w:val="0"/>
          <w:color w:val="000000"/>
          <w:position w:val="0"/>
          <w:sz w:val="20"/>
          <w:u w:val="none"/>
          <w:vertAlign w:val="baseline"/>
        </w:rPr>
        <w:t xml:space="preserve"> Thus, there was no justiciable issue of law and Hanson was entitled to fees under </w:t>
      </w:r>
      <w:hyperlink r:id="rId117" w:history="1">
        <w:r>
          <w:rPr>
            <w:rFonts w:ascii="arial" w:eastAsia="arial" w:hAnsi="arial" w:cs="arial"/>
            <w:b w:val="0"/>
            <w:i/>
            <w:strike w:val="0"/>
            <w:noProof w:val="0"/>
            <w:color w:val="0077CC"/>
            <w:position w:val="0"/>
            <w:sz w:val="20"/>
            <w:u w:val="single"/>
            <w:shd w:val="clear" w:color="auto" w:fill="FFFFFF"/>
            <w:vertAlign w:val="baseline"/>
          </w:rPr>
          <w:t>OCGA § 9-15-14(a)</w:t>
        </w:r>
      </w:hyperlink>
      <w:r>
        <w:rPr>
          <w:rFonts w:ascii="arial" w:eastAsia="arial" w:hAnsi="arial" w:cs="arial"/>
          <w:b w:val="0"/>
          <w:i w:val="0"/>
          <w:strike w:val="0"/>
          <w:noProof w:val="0"/>
          <w:color w:val="000000"/>
          <w:position w:val="0"/>
          <w:sz w:val="20"/>
          <w:u w:val="none"/>
          <w:vertAlign w:val="baseline"/>
        </w:rPr>
        <w:t xml:space="preserve">. </w:t>
      </w:r>
      <w:bookmarkStart w:id="135" w:name="Bookmark_I08HC7MMT29003MC99300CWN"/>
      <w:bookmarkEnd w:id="135"/>
      <w:hyperlink r:id="rId118" w:history="1">
        <w:r>
          <w:rPr>
            <w:rFonts w:ascii="arial" w:eastAsia="arial" w:hAnsi="arial" w:cs="arial"/>
            <w:b w:val="0"/>
            <w:i/>
            <w:strike w:val="0"/>
            <w:noProof w:val="0"/>
            <w:color w:val="0077CC"/>
            <w:position w:val="0"/>
            <w:sz w:val="20"/>
            <w:u w:val="single"/>
            <w:shd w:val="clear" w:color="auto" w:fill="FFFFFF"/>
            <w:vertAlign w:val="baseline"/>
          </w:rPr>
          <w:t>Durrance v. Schad</w:t>
        </w:r>
      </w:hyperlink>
      <w:hyperlink r:id="rId119" w:history="1">
        <w:r>
          <w:rPr>
            <w:rFonts w:ascii="arial" w:eastAsia="arial" w:hAnsi="arial" w:cs="arial"/>
            <w:b w:val="0"/>
            <w:i/>
            <w:strike w:val="0"/>
            <w:noProof w:val="0"/>
            <w:color w:val="0077CC"/>
            <w:position w:val="0"/>
            <w:sz w:val="20"/>
            <w:u w:val="single"/>
            <w:shd w:val="clear" w:color="auto" w:fill="FFFFFF"/>
            <w:vertAlign w:val="baseline"/>
          </w:rPr>
          <w:t>, 345 Ga. App. 826, 831(2)(a) (815 SE2d 164) (2018)</w:t>
        </w:r>
      </w:hyperlink>
      <w:r>
        <w:rPr>
          <w:rFonts w:ascii="arial" w:eastAsia="arial" w:hAnsi="arial" w:cs="arial"/>
          <w:b w:val="0"/>
          <w:i w:val="0"/>
          <w:strike w:val="0"/>
          <w:noProof w:val="0"/>
          <w:color w:val="000000"/>
          <w:position w:val="0"/>
          <w:sz w:val="20"/>
          <w:u w:val="none"/>
          <w:vertAlign w:val="baseline"/>
        </w:rPr>
        <w:t xml:space="preserve"> (voluntary dismissal of stalking suit did not render defendant unable to obtain attorney fees in light of plaintiff’s</w:t>
      </w:r>
      <w:r>
        <w:rPr>
          <w:rFonts w:ascii="arial" w:eastAsia="arial" w:hAnsi="arial" w:cs="arial"/>
          <w:b w:val="0"/>
          <w:i w:val="0"/>
          <w:strike w:val="0"/>
          <w:noProof w:val="0"/>
          <w:color w:val="000000"/>
          <w:position w:val="0"/>
          <w:sz w:val="20"/>
          <w:u w:val="none"/>
          <w:vertAlign w:val="baseline"/>
        </w:rPr>
        <w:t> [*458] </w:t>
      </w:r>
      <w:r>
        <w:rPr>
          <w:rFonts w:ascii="arial" w:eastAsia="arial" w:hAnsi="arial" w:cs="arial"/>
          <w:b w:val="0"/>
          <w:i w:val="0"/>
          <w:strike w:val="0"/>
          <w:noProof w:val="0"/>
          <w:color w:val="000000"/>
          <w:position w:val="0"/>
          <w:sz w:val="20"/>
          <w:u w:val="none"/>
          <w:vertAlign w:val="baseline"/>
        </w:rPr>
        <w:t xml:space="preserve"> admissions that he had no basis to file stalking petition); </w:t>
      </w:r>
      <w:bookmarkStart w:id="136" w:name="Bookmark_I08HC7MMT29003MC99300CWR"/>
      <w:bookmarkEnd w:id="136"/>
      <w:hyperlink r:id="rId120" w:history="1">
        <w:r>
          <w:rPr>
            <w:rFonts w:ascii="arial" w:eastAsia="arial" w:hAnsi="arial" w:cs="arial"/>
            <w:b w:val="0"/>
            <w:i/>
            <w:strike w:val="0"/>
            <w:noProof w:val="0"/>
            <w:color w:val="0077CC"/>
            <w:position w:val="0"/>
            <w:sz w:val="20"/>
            <w:u w:val="single"/>
            <w:shd w:val="clear" w:color="auto" w:fill="FFFFFF"/>
            <w:vertAlign w:val="baseline"/>
          </w:rPr>
          <w:t>Omni Builders Risk v. Bennett</w:t>
        </w:r>
      </w:hyperlink>
      <w:hyperlink r:id="rId121" w:history="1">
        <w:r>
          <w:rPr>
            <w:rFonts w:ascii="arial" w:eastAsia="arial" w:hAnsi="arial" w:cs="arial"/>
            <w:b w:val="0"/>
            <w:i/>
            <w:strike w:val="0"/>
            <w:noProof w:val="0"/>
            <w:color w:val="0077CC"/>
            <w:position w:val="0"/>
            <w:sz w:val="20"/>
            <w:u w:val="single"/>
            <w:shd w:val="clear" w:color="auto" w:fill="FFFFFF"/>
            <w:vertAlign w:val="baseline"/>
          </w:rPr>
          <w:t>, 325 Ga. App. 293, 297(3) (750 SE2d 499) (2013)</w:t>
        </w:r>
      </w:hyperlink>
      <w:r>
        <w:rPr>
          <w:rFonts w:ascii="arial" w:eastAsia="arial" w:hAnsi="arial" w:cs="arial"/>
          <w:b w:val="0"/>
          <w:i w:val="0"/>
          <w:strike w:val="0"/>
          <w:noProof w:val="0"/>
          <w:color w:val="000000"/>
          <w:position w:val="0"/>
          <w:sz w:val="20"/>
          <w:u w:val="none"/>
          <w:vertAlign w:val="baseline"/>
        </w:rPr>
        <w:t xml:space="preserve"> (“the fact that [plaintiff] voluntarily dismissed her</w:t>
      </w:r>
      <w:r>
        <w:rPr>
          <w:rFonts w:ascii="arial" w:eastAsia="arial" w:hAnsi="arial" w:cs="arial"/>
          <w:b w:val="0"/>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claim does not prevent an award under </w:t>
      </w:r>
      <w:hyperlink r:id="rId122" w:history="1">
        <w:r>
          <w:rPr>
            <w:rFonts w:ascii="arial" w:eastAsia="arial" w:hAnsi="arial" w:cs="arial"/>
            <w:b w:val="0"/>
            <w:i/>
            <w:strike w:val="0"/>
            <w:noProof w:val="0"/>
            <w:color w:val="0077CC"/>
            <w:position w:val="0"/>
            <w:sz w:val="20"/>
            <w:u w:val="single"/>
            <w:shd w:val="clear" w:color="auto" w:fill="FFFFFF"/>
            <w:vertAlign w:val="baseline"/>
          </w:rPr>
          <w:t>OCGA § 9-15-14</w:t>
        </w:r>
      </w:hyperlink>
      <w:r>
        <w:rPr>
          <w:rFonts w:ascii="arial" w:eastAsia="arial" w:hAnsi="arial" w:cs="arial"/>
          <w:b w:val="0"/>
          <w:i w:val="0"/>
          <w:strike w:val="0"/>
          <w:noProof w:val="0"/>
          <w:color w:val="000000"/>
          <w:position w:val="0"/>
          <w:sz w:val="20"/>
          <w:u w:val="none"/>
          <w:vertAlign w:val="baseline"/>
        </w:rPr>
        <w:t xml:space="preserve"> because litigants and counsel are bound to exercise ‘a minimum amount of diligence’ before filing suit” (emphasis omitted)). Because there is some evidence to support the trial court’s conclusion that the complaint was otherwise untimely, we are bound to affirm the award under </w:t>
      </w:r>
      <w:hyperlink r:id="rId123" w:history="1">
        <w:r>
          <w:rPr>
            <w:rFonts w:ascii="arial" w:eastAsia="arial" w:hAnsi="arial" w:cs="arial"/>
            <w:b w:val="0"/>
            <w:i/>
            <w:strike w:val="0"/>
            <w:noProof w:val="0"/>
            <w:color w:val="0077CC"/>
            <w:position w:val="0"/>
            <w:sz w:val="20"/>
            <w:u w:val="single"/>
            <w:shd w:val="clear" w:color="auto" w:fill="FFFFFF"/>
            <w:vertAlign w:val="baseline"/>
          </w:rPr>
          <w:t>OCGA § 9-15-14(a)</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10"/>
        <w:t xml:space="preserve">9</w:t>
      </w:r>
      <w:r>
        <w:rPr>
          <w:rFonts w:ascii="arial" w:eastAsia="arial" w:hAnsi="arial" w:cs="arial"/>
          <w:b w:val="0"/>
          <w:i w:val="0"/>
          <w:strike w:val="0"/>
          <w:noProof w:val="0"/>
          <w:color w:val="000000"/>
          <w:position w:val="0"/>
          <w:sz w:val="20"/>
          <w:u w:val="none"/>
          <w:vertAlign w:val="baseline"/>
        </w:rPr>
        <w:t xml:space="preserve"> </w:t>
      </w:r>
      <w:bookmarkStart w:id="138" w:name="Bookmark_I08HC7MMT29003MC99300CWT"/>
      <w:bookmarkEnd w:id="138"/>
      <w:hyperlink r:id="rId124" w:history="1">
        <w:r>
          <w:rPr>
            <w:rFonts w:ascii="arial" w:eastAsia="arial" w:hAnsi="arial" w:cs="arial"/>
            <w:b w:val="0"/>
            <w:i/>
            <w:strike w:val="0"/>
            <w:noProof w:val="0"/>
            <w:color w:val="0077CC"/>
            <w:position w:val="0"/>
            <w:sz w:val="20"/>
            <w:u w:val="single"/>
            <w:shd w:val="clear" w:color="auto" w:fill="FFFFFF"/>
            <w:vertAlign w:val="baseline"/>
          </w:rPr>
          <w:t>Barnwell</w:t>
        </w:r>
      </w:hyperlink>
      <w:hyperlink r:id="rId125" w:history="1">
        <w:r>
          <w:rPr>
            <w:rFonts w:ascii="arial" w:eastAsia="arial" w:hAnsi="arial" w:cs="arial"/>
            <w:b w:val="0"/>
            <w:i/>
            <w:strike w:val="0"/>
            <w:noProof w:val="0"/>
            <w:color w:val="0077CC"/>
            <w:position w:val="0"/>
            <w:sz w:val="20"/>
            <w:u w:val="single"/>
            <w:shd w:val="clear" w:color="auto" w:fill="FFFFFF"/>
            <w:vertAlign w:val="baseline"/>
          </w:rPr>
          <w:t>, 370 Ga. App. at 524–25 (2) (a)</w:t>
        </w:r>
      </w:hyperlink>
      <w:r>
        <w:rPr>
          <w:rFonts w:ascii="arial" w:eastAsia="arial" w:hAnsi="arial" w:cs="arial"/>
          <w:b w:val="0"/>
          <w:i w:val="0"/>
          <w:strike w:val="0"/>
          <w:noProof w:val="0"/>
          <w:color w:val="000000"/>
          <w:position w:val="0"/>
          <w:sz w:val="20"/>
          <w:u w:val="none"/>
          <w:vertAlign w:val="baseline"/>
        </w:rPr>
        <w:t xml:space="preserve">; </w:t>
      </w:r>
      <w:bookmarkStart w:id="139" w:name="Bookmark_I08HC7MMTV4003MK8G600C80"/>
      <w:bookmarkEnd w:id="139"/>
      <w:hyperlink r:id="rId126" w:history="1">
        <w:r>
          <w:rPr>
            <w:rFonts w:ascii="arial" w:eastAsia="arial" w:hAnsi="arial" w:cs="arial"/>
            <w:b w:val="0"/>
            <w:i/>
            <w:strike w:val="0"/>
            <w:noProof w:val="0"/>
            <w:color w:val="0077CC"/>
            <w:position w:val="0"/>
            <w:sz w:val="20"/>
            <w:u w:val="single"/>
            <w:shd w:val="clear" w:color="auto" w:fill="FFFFFF"/>
            <w:vertAlign w:val="baseline"/>
          </w:rPr>
          <w:t>Bircoll</w:t>
        </w:r>
      </w:hyperlink>
      <w:hyperlink r:id="rId127" w:history="1">
        <w:r>
          <w:rPr>
            <w:rFonts w:ascii="arial" w:eastAsia="arial" w:hAnsi="arial" w:cs="arial"/>
            <w:b w:val="0"/>
            <w:i/>
            <w:strike w:val="0"/>
            <w:noProof w:val="0"/>
            <w:color w:val="0077CC"/>
            <w:position w:val="0"/>
            <w:sz w:val="20"/>
            <w:u w:val="single"/>
            <w:shd w:val="clear" w:color="auto" w:fill="FFFFFF"/>
            <w:vertAlign w:val="baseline"/>
          </w:rPr>
          <w:t>, 267 Ga. App. 431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 </w:t>
      </w:r>
      <w:hyperlink r:id="rId128" w:history="1">
        <w:r>
          <w:rPr>
            <w:rFonts w:ascii="arial" w:eastAsia="arial" w:hAnsi="arial" w:cs="arial"/>
            <w:b w:val="0"/>
            <w:i/>
            <w:strike w:val="0"/>
            <w:noProof w:val="0"/>
            <w:color w:val="0077CC"/>
            <w:position w:val="0"/>
            <w:sz w:val="20"/>
            <w:u w:val="single"/>
            <w:shd w:val="clear" w:color="auto" w:fill="FFFFFF"/>
            <w:vertAlign w:val="baseline"/>
          </w:rPr>
          <w:t>OCGA § 9-15-14(b)</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40" w:name="Bookmark_I08HC7MMTV4003MK8G600C83"/>
      <w:bookmarkEnd w:id="140"/>
      <w:bookmarkStart w:id="141" w:name="Bookmark_LNHNREFclscc10"/>
      <w:bookmarkEnd w:id="141"/>
      <w:r>
        <w:rPr>
          <w:rFonts w:ascii="arial" w:eastAsia="arial" w:hAnsi="arial" w:cs="arial"/>
          <w:b w:val="0"/>
          <w:i w:val="0"/>
          <w:strike w:val="0"/>
          <w:noProof w:val="0"/>
          <w:color w:val="000000"/>
          <w:position w:val="0"/>
          <w:sz w:val="20"/>
          <w:u w:val="none"/>
          <w:vertAlign w:val="baseline"/>
        </w:rPr>
        <w:t xml:space="preserve">A party is entitled to fees under this subsection where he or she filed a claim that “lacked substantial justification” or “was interposed for delay or harassment, or if the court finds that an attorney or party unnecessarily expanded the proceeding by other improper conduct.” </w:t>
      </w:r>
      <w:bookmarkStart w:id="142" w:name="Bookmark_I08HC7MMTXN003MK8G600C85"/>
      <w:bookmarkEnd w:id="142"/>
      <w:bookmarkStart w:id="143" w:name="Bookmark_I08HC7MMTV4003MK8G600C82"/>
      <w:bookmarkEnd w:id="143"/>
      <w:hyperlink r:id="rId129" w:history="1">
        <w:r>
          <w:rPr>
            <w:rFonts w:ascii="arial" w:eastAsia="arial" w:hAnsi="arial" w:cs="arial"/>
            <w:b w:val="0"/>
            <w:i/>
            <w:strike w:val="0"/>
            <w:noProof w:val="0"/>
            <w:color w:val="0077CC"/>
            <w:position w:val="0"/>
            <w:sz w:val="20"/>
            <w:u w:val="single"/>
            <w:shd w:val="clear" w:color="auto" w:fill="FFFFFF"/>
            <w:vertAlign w:val="baseline"/>
          </w:rPr>
          <w:t>Shoenthal</w:t>
        </w:r>
      </w:hyperlink>
      <w:hyperlink r:id="rId130" w:history="1">
        <w:r>
          <w:rPr>
            <w:rFonts w:ascii="arial" w:eastAsia="arial" w:hAnsi="arial" w:cs="arial"/>
            <w:b w:val="0"/>
            <w:i/>
            <w:strike w:val="0"/>
            <w:noProof w:val="0"/>
            <w:color w:val="0077CC"/>
            <w:position w:val="0"/>
            <w:sz w:val="20"/>
            <w:u w:val="single"/>
            <w:shd w:val="clear" w:color="auto" w:fill="FFFFFF"/>
            <w:vertAlign w:val="baseline"/>
          </w:rPr>
          <w:t>, 343 Ga. App. at 30</w:t>
        </w:r>
      </w:hyperlink>
      <w:r>
        <w:rPr>
          <w:rFonts w:ascii="arial" w:eastAsia="arial" w:hAnsi="arial" w:cs="arial"/>
          <w:b w:val="0"/>
          <w:i w:val="0"/>
          <w:strike w:val="0"/>
          <w:noProof w:val="0"/>
          <w:color w:val="000000"/>
          <w:position w:val="0"/>
          <w:sz w:val="20"/>
          <w:u w:val="none"/>
          <w:vertAlign w:val="baseline"/>
        </w:rPr>
        <w:t xml:space="preserve"> (citation and punctuation omitted); </w:t>
      </w:r>
      <w:hyperlink r:id="rId131" w:history="1">
        <w:r>
          <w:rPr>
            <w:rFonts w:ascii="arial" w:eastAsia="arial" w:hAnsi="arial" w:cs="arial"/>
            <w:b w:val="0"/>
            <w:i/>
            <w:strike w:val="0"/>
            <w:noProof w:val="0"/>
            <w:color w:val="0077CC"/>
            <w:position w:val="0"/>
            <w:sz w:val="20"/>
            <w:u w:val="single"/>
            <w:shd w:val="clear" w:color="auto" w:fill="FFFFFF"/>
            <w:vertAlign w:val="baseline"/>
          </w:rPr>
          <w:t>OCGA § 9-15-14(b)</w:t>
        </w:r>
      </w:hyperlink>
      <w:r>
        <w:rPr>
          <w:rFonts w:ascii="arial" w:eastAsia="arial" w:hAnsi="arial" w:cs="arial"/>
          <w:b w:val="0"/>
          <w:i w:val="0"/>
          <w:strike w:val="0"/>
          <w:noProof w:val="0"/>
          <w:color w:val="000000"/>
          <w:position w:val="0"/>
          <w:sz w:val="20"/>
          <w:u w:val="none"/>
          <w:vertAlign w:val="baseline"/>
        </w:rPr>
        <w:t xml:space="preserve">. Although we generally review the trial court’s award under this subsection for abuse of discretion, we need not consider the argument where, as here, we concluded that fees were warranted under </w:t>
      </w:r>
      <w:hyperlink r:id="rId132" w:history="1">
        <w:r>
          <w:rPr>
            <w:rFonts w:ascii="arial" w:eastAsia="arial" w:hAnsi="arial" w:cs="arial"/>
            <w:b w:val="0"/>
            <w:i/>
            <w:strike w:val="0"/>
            <w:noProof w:val="0"/>
            <w:color w:val="0077CC"/>
            <w:position w:val="0"/>
            <w:sz w:val="20"/>
            <w:u w:val="single"/>
            <w:shd w:val="clear" w:color="auto" w:fill="FFFFFF"/>
            <w:vertAlign w:val="baseline"/>
          </w:rPr>
          <w:t>OCGA § 9-15-14(a)</w:t>
        </w:r>
      </w:hyperlink>
      <w:r>
        <w:rPr>
          <w:rFonts w:ascii="arial" w:eastAsia="arial" w:hAnsi="arial" w:cs="arial"/>
          <w:b w:val="0"/>
          <w:i w:val="0"/>
          <w:strike w:val="0"/>
          <w:noProof w:val="0"/>
          <w:color w:val="000000"/>
          <w:position w:val="0"/>
          <w:sz w:val="20"/>
          <w:u w:val="none"/>
          <w:vertAlign w:val="baseline"/>
        </w:rPr>
        <w:t xml:space="preserve">. </w:t>
      </w:r>
      <w:bookmarkStart w:id="144" w:name="Bookmark_I08HC7MMTXN003MK8G600C85_2"/>
      <w:bookmarkEnd w:id="144"/>
      <w:bookmarkStart w:id="145" w:name="Bookmark_I08HC7MMTXN003MK8G600C84"/>
      <w:bookmarkEnd w:id="145"/>
      <w:hyperlink r:id="rId133" w:history="1">
        <w:r>
          <w:rPr>
            <w:rFonts w:ascii="arial" w:eastAsia="arial" w:hAnsi="arial" w:cs="arial"/>
            <w:b w:val="0"/>
            <w:i/>
            <w:strike w:val="0"/>
            <w:noProof w:val="0"/>
            <w:color w:val="0077CC"/>
            <w:position w:val="0"/>
            <w:sz w:val="20"/>
            <w:u w:val="single"/>
            <w:shd w:val="clear" w:color="auto" w:fill="FFFFFF"/>
            <w:vertAlign w:val="baseline"/>
          </w:rPr>
          <w:t>Shiv Aban, Inc. v. Ga. Dep’t of Transp.</w:t>
        </w:r>
      </w:hyperlink>
      <w:hyperlink r:id="rId134" w:history="1">
        <w:r>
          <w:rPr>
            <w:rFonts w:ascii="arial" w:eastAsia="arial" w:hAnsi="arial" w:cs="arial"/>
            <w:b w:val="0"/>
            <w:i/>
            <w:strike w:val="0"/>
            <w:noProof w:val="0"/>
            <w:color w:val="0077CC"/>
            <w:position w:val="0"/>
            <w:sz w:val="20"/>
            <w:u w:val="single"/>
            <w:shd w:val="clear" w:color="auto" w:fill="FFFFFF"/>
            <w:vertAlign w:val="baseline"/>
          </w:rPr>
          <w:t>, 336 Ga. App. 804, 818(2)(b) (784 SE2d 134) (2016)</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Accordingly, for the foregoing reasons, we affirm the award of fees to Flint and Hanson.</w:t>
      </w:r>
      <w:r>
        <w:rPr>
          <w:rFonts w:ascii="arial" w:eastAsia="arial" w:hAnsi="arial" w:cs="arial"/>
          <w:vertAlign w:val="superscript"/>
        </w:rPr>
        <w:footnoteReference w:customMarkFollows="1" w:id="11"/>
        <w:t xml:space="preserve">10</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Judgment affirmed. Doyle, P. J., and Padgett, J., concur</w:t>
      </w:r>
      <w:r>
        <w:rPr>
          <w:rFonts w:ascii="arial" w:eastAsia="arial" w:hAnsi="arial" w:cs="arial"/>
          <w:b w:val="0"/>
          <w:i w:val="0"/>
          <w:strike w:val="0"/>
          <w:noProof w:val="0"/>
          <w:color w:val="000000"/>
          <w:position w:val="0"/>
          <w:sz w:val="20"/>
          <w:u w:val="none"/>
          <w:vertAlign w:val="baseline"/>
        </w:rPr>
        <w:t>.</w:t>
      </w:r>
    </w:p>
    <w:p/>
    <w:p>
      <w:pPr>
        <w:ind w:left="200"/>
      </w:pPr>
      <w:r>
        <w:br/>
      </w:r>
      <w:r>
        <w:pict>
          <v:line id="_x0000_s1026"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11" w:name="Bookmark_fnpara_1"/>
      <w:bookmarkEnd w:id="11"/>
      <w:r>
        <w:rPr>
          <w:rFonts w:ascii="arial" w:eastAsia="arial" w:hAnsi="arial" w:cs="arial"/>
          <w:b w:val="0"/>
          <w:i w:val="0"/>
          <w:strike w:val="0"/>
          <w:noProof w:val="0"/>
          <w:color w:val="000000"/>
          <w:position w:val="0"/>
          <w:sz w:val="18"/>
          <w:u w:val="none"/>
          <w:vertAlign w:val="baseline"/>
        </w:rPr>
        <w:t xml:space="preserve">Hanson’s motion to dismiss the appeal is denied. See </w:t>
      </w:r>
      <w:r>
        <w:rPr>
          <w:rFonts w:ascii="arial" w:eastAsia="arial" w:hAnsi="arial" w:cs="arial"/>
          <w:b/>
          <w:i/>
          <w:strike w:val="0"/>
          <w:noProof w:val="0"/>
          <w:color w:val="000000"/>
          <w:position w:val="0"/>
          <w:sz w:val="18"/>
          <w:u w:val="none"/>
          <w:vertAlign w:val="baseline"/>
        </w:rPr>
        <w:t>OCGA §§ 5-6-34(a)(13)</w:t>
      </w:r>
      <w:r>
        <w:rPr>
          <w:rFonts w:ascii="arial" w:eastAsia="arial" w:hAnsi="arial" w:cs="arial"/>
          <w:b w:val="0"/>
          <w:i w:val="0"/>
          <w:strike w:val="0"/>
          <w:noProof w:val="0"/>
          <w:color w:val="000000"/>
          <w:position w:val="0"/>
          <w:sz w:val="18"/>
          <w:u w:val="none"/>
          <w:vertAlign w:val="baseline"/>
        </w:rPr>
        <w:t xml:space="preserve"> (judgments entered under </w:t>
      </w:r>
      <w:hyperlink r:id="rId1" w:history="1">
        <w:r>
          <w:rPr>
            <w:rFonts w:ascii="arial" w:eastAsia="arial" w:hAnsi="arial" w:cs="arial"/>
            <w:b w:val="0"/>
            <w:i/>
            <w:strike w:val="0"/>
            <w:noProof w:val="0"/>
            <w:color w:val="0077CC"/>
            <w:position w:val="0"/>
            <w:sz w:val="18"/>
            <w:u w:val="single"/>
            <w:shd w:val="clear" w:color="auto" w:fill="FFFFFF"/>
            <w:vertAlign w:val="baseline"/>
          </w:rPr>
          <w:t>OCGA § 9-11-11.1</w:t>
        </w:r>
      </w:hyperlink>
      <w:r>
        <w:rPr>
          <w:rFonts w:ascii="arial" w:eastAsia="arial" w:hAnsi="arial" w:cs="arial"/>
          <w:b w:val="0"/>
          <w:i w:val="0"/>
          <w:strike w:val="0"/>
          <w:noProof w:val="0"/>
          <w:color w:val="000000"/>
          <w:position w:val="0"/>
          <w:sz w:val="18"/>
          <w:u w:val="none"/>
          <w:vertAlign w:val="baseline"/>
        </w:rPr>
        <w:t xml:space="preserve"> are directly appealable); </w:t>
      </w:r>
      <w:r>
        <w:rPr>
          <w:rFonts w:ascii="arial" w:eastAsia="arial" w:hAnsi="arial" w:cs="arial"/>
          <w:b/>
          <w:i/>
          <w:strike w:val="0"/>
          <w:noProof w:val="0"/>
          <w:color w:val="000000"/>
          <w:position w:val="0"/>
          <w:sz w:val="18"/>
          <w:u w:val="none"/>
          <w:vertAlign w:val="baseline"/>
        </w:rPr>
        <w:t>5-6-34(d)</w:t>
      </w:r>
      <w:r>
        <w:rPr>
          <w:rFonts w:ascii="arial" w:eastAsia="arial" w:hAnsi="arial" w:cs="arial"/>
          <w:b w:val="0"/>
          <w:i w:val="0"/>
          <w:strike w:val="0"/>
          <w:noProof w:val="0"/>
          <w:color w:val="000000"/>
          <w:position w:val="0"/>
          <w:sz w:val="18"/>
          <w:u w:val="none"/>
          <w:vertAlign w:val="baseline"/>
        </w:rPr>
        <w:t xml:space="preserve"> (“Where an appeal is taken under any provision of </w:t>
      </w:r>
      <w:r>
        <w:rPr>
          <w:rFonts w:ascii="arial" w:eastAsia="arial" w:hAnsi="arial" w:cs="arial"/>
          <w:b/>
          <w:i/>
          <w:strike w:val="0"/>
          <w:noProof w:val="0"/>
          <w:color w:val="000000"/>
          <w:position w:val="0"/>
          <w:sz w:val="18"/>
          <w:u w:val="none"/>
          <w:vertAlign w:val="baseline"/>
        </w:rPr>
        <w:t>subsection (a)</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i/>
          <w:strike w:val="0"/>
          <w:noProof w:val="0"/>
          <w:color w:val="000000"/>
          <w:position w:val="0"/>
          <w:sz w:val="18"/>
          <w:u w:val="none"/>
          <w:vertAlign w:val="baseline"/>
        </w:rPr>
        <w:t>(b)</w:t>
      </w:r>
      <w:r>
        <w:rPr>
          <w:rFonts w:ascii="arial" w:eastAsia="arial" w:hAnsi="arial" w:cs="arial"/>
          <w:b w:val="0"/>
          <w:i w:val="0"/>
          <w:strike w:val="0"/>
          <w:noProof w:val="0"/>
          <w:color w:val="000000"/>
          <w:position w:val="0"/>
          <w:sz w:val="18"/>
          <w:u w:val="none"/>
          <w:vertAlign w:val="baseline"/>
        </w:rPr>
        <w:t xml:space="preserve">, or </w:t>
      </w:r>
      <w:r>
        <w:rPr>
          <w:rFonts w:ascii="arial" w:eastAsia="arial" w:hAnsi="arial" w:cs="arial"/>
          <w:b/>
          <w:i/>
          <w:strike w:val="0"/>
          <w:noProof w:val="0"/>
          <w:color w:val="000000"/>
          <w:position w:val="0"/>
          <w:sz w:val="18"/>
          <w:u w:val="none"/>
          <w:vertAlign w:val="baseline"/>
        </w:rPr>
        <w:t>(c)</w:t>
      </w:r>
      <w:r>
        <w:rPr>
          <w:rFonts w:ascii="arial" w:eastAsia="arial" w:hAnsi="arial" w:cs="arial"/>
          <w:b w:val="0"/>
          <w:i w:val="0"/>
          <w:strike w:val="0"/>
          <w:noProof w:val="0"/>
          <w:color w:val="000000"/>
          <w:position w:val="0"/>
          <w:sz w:val="18"/>
          <w:u w:val="none"/>
          <w:vertAlign w:val="baseline"/>
        </w:rPr>
        <w:t xml:space="preserve"> of this Code section, all judgments, rulings, or orders rendered in the case which are raised on appeal and which may affect the proceedings below shall be reviewed and determined by the appellate court, without regard to the appealability of the judgment, ruling, or order standing alone[.]”); </w:t>
      </w:r>
      <w:bookmarkStart w:id="12" w:name="Bookmark_I08HC7MF667003MC993009K0"/>
      <w:bookmarkEnd w:id="12"/>
      <w:hyperlink r:id="rId2" w:history="1">
        <w:r>
          <w:rPr>
            <w:rFonts w:ascii="arial" w:eastAsia="arial" w:hAnsi="arial" w:cs="arial"/>
            <w:b w:val="0"/>
            <w:i/>
            <w:strike w:val="0"/>
            <w:noProof w:val="0"/>
            <w:color w:val="0077CC"/>
            <w:position w:val="0"/>
            <w:sz w:val="18"/>
            <w:u w:val="single"/>
            <w:shd w:val="clear" w:color="auto" w:fill="FFFFFF"/>
            <w:vertAlign w:val="baseline"/>
          </w:rPr>
          <w:t>Hallman v. Emory Univ.</w:t>
        </w:r>
      </w:hyperlink>
      <w:hyperlink r:id="rId3" w:history="1">
        <w:r>
          <w:rPr>
            <w:rFonts w:ascii="arial" w:eastAsia="arial" w:hAnsi="arial" w:cs="arial"/>
            <w:b w:val="0"/>
            <w:i/>
            <w:strike w:val="0"/>
            <w:noProof w:val="0"/>
            <w:color w:val="0077CC"/>
            <w:position w:val="0"/>
            <w:sz w:val="18"/>
            <w:u w:val="single"/>
            <w:shd w:val="clear" w:color="auto" w:fill="FFFFFF"/>
            <w:vertAlign w:val="baseline"/>
          </w:rPr>
          <w:t>, 225 Ga. App. 247, 249–50 (483 SE2d 362) (1997)</w:t>
        </w:r>
      </w:hyperlink>
      <w:r>
        <w:rPr>
          <w:rFonts w:ascii="arial" w:eastAsia="arial" w:hAnsi="arial" w:cs="arial"/>
          <w:b w:val="0"/>
          <w:i w:val="0"/>
          <w:strike w:val="0"/>
          <w:noProof w:val="0"/>
          <w:color w:val="000000"/>
          <w:position w:val="0"/>
          <w:sz w:val="18"/>
          <w:u w:val="none"/>
          <w:vertAlign w:val="baseline"/>
        </w:rPr>
        <w:t xml:space="preserve"> (“To award attorney fees under </w:t>
      </w:r>
      <w:hyperlink r:id="rId4" w:history="1">
        <w:r>
          <w:rPr>
            <w:rFonts w:ascii="arial" w:eastAsia="arial" w:hAnsi="arial" w:cs="arial"/>
            <w:b w:val="0"/>
            <w:i/>
            <w:strike w:val="0"/>
            <w:noProof w:val="0"/>
            <w:color w:val="0077CC"/>
            <w:position w:val="0"/>
            <w:sz w:val="18"/>
            <w:u w:val="single"/>
            <w:shd w:val="clear" w:color="auto" w:fill="FFFFFF"/>
            <w:vertAlign w:val="baseline"/>
          </w:rPr>
          <w:t>OCGA § 9-15-14(a)</w:t>
        </w:r>
      </w:hyperlink>
      <w:r>
        <w:rPr>
          <w:rFonts w:ascii="arial" w:eastAsia="arial" w:hAnsi="arial" w:cs="arial"/>
          <w:b w:val="0"/>
          <w:i w:val="0"/>
          <w:strike w:val="0"/>
          <w:noProof w:val="0"/>
          <w:color w:val="000000"/>
          <w:position w:val="0"/>
          <w:sz w:val="18"/>
          <w:u w:val="none"/>
          <w:vertAlign w:val="baseline"/>
        </w:rPr>
        <w:t xml:space="preserve"> requires the same findings as under [the </w:t>
      </w:r>
      <w:hyperlink r:id="rId5" w:history="1">
        <w:r>
          <w:rPr>
            <w:rFonts w:ascii="arial" w:eastAsia="arial" w:hAnsi="arial" w:cs="arial"/>
            <w:b w:val="0"/>
            <w:i/>
            <w:strike w:val="0"/>
            <w:noProof w:val="0"/>
            <w:color w:val="0077CC"/>
            <w:position w:val="0"/>
            <w:sz w:val="18"/>
            <w:u w:val="single"/>
            <w:shd w:val="clear" w:color="auto" w:fill="FFFFFF"/>
            <w:vertAlign w:val="baseline"/>
          </w:rPr>
          <w:t>abusive litigation statute</w:t>
        </w:r>
      </w:hyperlink>
      <w:r>
        <w:rPr>
          <w:rFonts w:ascii="arial" w:eastAsia="arial" w:hAnsi="arial" w:cs="arial"/>
          <w:b w:val="0"/>
          <w:i w:val="0"/>
          <w:strike w:val="0"/>
          <w:noProof w:val="0"/>
          <w:color w:val="000000"/>
          <w:position w:val="0"/>
          <w:sz w:val="18"/>
          <w:u w:val="none"/>
          <w:vertAlign w:val="baseline"/>
        </w:rPr>
        <w:t xml:space="preserve">], so that there exists an appeal which otherwise would be discretionary under </w:t>
      </w:r>
      <w:hyperlink r:id="rId6" w:history="1">
        <w:r>
          <w:rPr>
            <w:rFonts w:ascii="arial" w:eastAsia="arial" w:hAnsi="arial" w:cs="arial"/>
            <w:b w:val="0"/>
            <w:i/>
            <w:strike w:val="0"/>
            <w:noProof w:val="0"/>
            <w:color w:val="0077CC"/>
            <w:position w:val="0"/>
            <w:sz w:val="18"/>
            <w:u w:val="single"/>
            <w:shd w:val="clear" w:color="auto" w:fill="FFFFFF"/>
            <w:vertAlign w:val="baseline"/>
          </w:rPr>
          <w:t>OCGA § 9-15-14</w:t>
        </w:r>
      </w:hyperlink>
      <w:r>
        <w:rPr>
          <w:rFonts w:ascii="arial" w:eastAsia="arial" w:hAnsi="arial" w:cs="arial"/>
          <w:b w:val="0"/>
          <w:i w:val="0"/>
          <w:strike w:val="0"/>
          <w:noProof w:val="0"/>
          <w:color w:val="000000"/>
          <w:position w:val="0"/>
          <w:sz w:val="18"/>
          <w:u w:val="none"/>
          <w:vertAlign w:val="baseline"/>
        </w:rPr>
        <w:t>, but may be reviewed on direct appeal, when it is appealed as part of a judgment directly appealable.” (quotation marks omitted)).</w:t>
      </w:r>
    </w:p>
  </w:footnote>
  <w:footnote w:id="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20" w:name="Bookmark_fnpara_2"/>
      <w:bookmarkEnd w:id="20"/>
      <w:r>
        <w:rPr>
          <w:rFonts w:ascii="arial" w:eastAsia="arial" w:hAnsi="arial" w:cs="arial"/>
          <w:b w:val="0"/>
          <w:i w:val="0"/>
          <w:strike w:val="0"/>
          <w:noProof w:val="0"/>
          <w:color w:val="000000"/>
          <w:position w:val="0"/>
          <w:sz w:val="18"/>
          <w:u w:val="none"/>
          <w:vertAlign w:val="baseline"/>
        </w:rPr>
        <w:t xml:space="preserve">For a more detailed procedural history, see </w:t>
      </w:r>
      <w:bookmarkStart w:id="21" w:name="Bookmark_I08HC7MF79Y003MC993009MW"/>
      <w:bookmarkEnd w:id="21"/>
      <w:hyperlink r:id="rId7" w:history="1">
        <w:r>
          <w:rPr>
            <w:rFonts w:ascii="arial" w:eastAsia="arial" w:hAnsi="arial" w:cs="arial"/>
            <w:b w:val="0"/>
            <w:i/>
            <w:strike w:val="0"/>
            <w:noProof w:val="0"/>
            <w:color w:val="0077CC"/>
            <w:position w:val="0"/>
            <w:sz w:val="18"/>
            <w:u w:val="single"/>
            <w:shd w:val="clear" w:color="auto" w:fill="FFFFFF"/>
            <w:vertAlign w:val="baseline"/>
          </w:rPr>
          <w:t>Trabue I</w:t>
        </w:r>
      </w:hyperlink>
      <w:hyperlink r:id="rId8" w:history="1">
        <w:r>
          <w:rPr>
            <w:rFonts w:ascii="arial" w:eastAsia="arial" w:hAnsi="arial" w:cs="arial"/>
            <w:b w:val="0"/>
            <w:i/>
            <w:strike w:val="0"/>
            <w:noProof w:val="0"/>
            <w:color w:val="0077CC"/>
            <w:position w:val="0"/>
            <w:sz w:val="18"/>
            <w:u w:val="single"/>
            <w:shd w:val="clear" w:color="auto" w:fill="FFFFFF"/>
            <w:vertAlign w:val="baseline"/>
          </w:rPr>
          <w:t>, 349 Ga. App. at 224–27</w:t>
        </w:r>
      </w:hyperlink>
      <w:r>
        <w:rPr>
          <w:rFonts w:ascii="arial" w:eastAsia="arial" w:hAnsi="arial" w:cs="arial"/>
          <w:b w:val="0"/>
          <w:i w:val="0"/>
          <w:strike w:val="0"/>
          <w:noProof w:val="0"/>
          <w:color w:val="000000"/>
          <w:position w:val="0"/>
          <w:sz w:val="18"/>
          <w:u w:val="none"/>
          <w:vertAlign w:val="baseline"/>
        </w:rPr>
        <w:t>. We refer to the prior cases here only so far as they explain the current appeal.</w:t>
      </w:r>
    </w:p>
  </w:footnote>
  <w:footnote w:id="4">
    <w:p>
      <w:pPr>
        <w:spacing w:before="200" w:line="240" w:lineRule="atLeast"/>
        <w:jc w:val="both"/>
      </w:pPr>
      <w:r>
        <w:rPr>
          <w:rFonts w:ascii="arial" w:eastAsia="arial" w:hAnsi="arial" w:cs="arial"/>
          <w:b w:val="0"/>
          <w:i w:val="0"/>
          <w:strike w:val="0"/>
          <w:noProof w:val="0"/>
          <w:color w:val="000000"/>
          <w:position w:val="0"/>
          <w:sz w:val="18"/>
          <w:u w:val="none"/>
          <w:vertAlign w:val="superscript"/>
        </w:rPr>
        <w:t>3 </w:t>
      </w:r>
      <w:bookmarkStart w:id="25" w:name="Bookmark_fnpara_3"/>
      <w:bookmarkEnd w:id="25"/>
      <w:r>
        <w:rPr>
          <w:rFonts w:ascii="arial" w:eastAsia="arial" w:hAnsi="arial" w:cs="arial"/>
          <w:b w:val="0"/>
          <w:i w:val="0"/>
          <w:strike w:val="0"/>
          <w:noProof w:val="0"/>
          <w:color w:val="000000"/>
          <w:position w:val="0"/>
          <w:sz w:val="18"/>
          <w:u w:val="none"/>
          <w:vertAlign w:val="baseline"/>
        </w:rPr>
        <w:t xml:space="preserve">At some point after </w:t>
      </w:r>
      <w:r>
        <w:rPr>
          <w:rFonts w:ascii="arial" w:eastAsia="arial" w:hAnsi="arial" w:cs="arial"/>
          <w:b w:val="0"/>
          <w:i/>
          <w:strike w:val="0"/>
          <w:noProof w:val="0"/>
          <w:color w:val="000000"/>
          <w:position w:val="0"/>
          <w:sz w:val="18"/>
          <w:u w:val="none"/>
          <w:vertAlign w:val="baseline"/>
        </w:rPr>
        <w:t>Trabue IV</w:t>
      </w:r>
      <w:r>
        <w:rPr>
          <w:rFonts w:ascii="arial" w:eastAsia="arial" w:hAnsi="arial" w:cs="arial"/>
          <w:b w:val="0"/>
          <w:i w:val="0"/>
          <w:strike w:val="0"/>
          <w:noProof w:val="0"/>
          <w:color w:val="000000"/>
          <w:position w:val="0"/>
          <w:sz w:val="18"/>
          <w:u w:val="none"/>
          <w:vertAlign w:val="baseline"/>
        </w:rPr>
        <w:t xml:space="preserve">, the trial court denied the pending motion to set aside. We dismissed the appeal from that order. See </w:t>
      </w:r>
      <w:r>
        <w:rPr>
          <w:rFonts w:ascii="arial" w:eastAsia="arial" w:hAnsi="arial" w:cs="arial"/>
          <w:b w:val="0"/>
          <w:i/>
          <w:strike w:val="0"/>
          <w:noProof w:val="0"/>
          <w:color w:val="000000"/>
          <w:position w:val="0"/>
          <w:sz w:val="18"/>
          <w:u w:val="none"/>
          <w:vertAlign w:val="baseline"/>
        </w:rPr>
        <w:t>Atlanta Women’s Specialists v. Trabue</w:t>
      </w:r>
      <w:r>
        <w:rPr>
          <w:rFonts w:ascii="arial" w:eastAsia="arial" w:hAnsi="arial" w:cs="arial"/>
          <w:b w:val="0"/>
          <w:i w:val="0"/>
          <w:strike w:val="0"/>
          <w:noProof w:val="0"/>
          <w:color w:val="000000"/>
          <w:position w:val="0"/>
          <w:sz w:val="18"/>
          <w:u w:val="none"/>
          <w:vertAlign w:val="baseline"/>
        </w:rPr>
        <w:t>, Case No. A24A1112 (May 9, 2024). In January 2025, the trial court awarded attorney fees in the underlying medical malpractice case. An appeal from that order is pending before this Court in Case No. A25A1265.</w:t>
      </w:r>
    </w:p>
  </w:footnote>
  <w:footnote w:id="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54" w:name="Bookmark_fnpara_4"/>
      <w:bookmarkEnd w:id="54"/>
      <w:r>
        <w:rPr>
          <w:rFonts w:ascii="arial" w:eastAsia="arial" w:hAnsi="arial" w:cs="arial"/>
          <w:b w:val="0"/>
          <w:i w:val="0"/>
          <w:strike w:val="0"/>
          <w:noProof w:val="0"/>
          <w:color w:val="000000"/>
          <w:position w:val="0"/>
          <w:sz w:val="18"/>
          <w:u w:val="none"/>
          <w:vertAlign w:val="baseline"/>
        </w:rPr>
        <w:t xml:space="preserve">Compare </w:t>
      </w:r>
      <w:bookmarkStart w:id="55" w:name="Bookmark_I08HC7MFPT8003MK8G6009V4"/>
      <w:bookmarkEnd w:id="55"/>
      <w:hyperlink r:id="rId9" w:history="1">
        <w:r>
          <w:rPr>
            <w:rFonts w:ascii="arial" w:eastAsia="arial" w:hAnsi="arial" w:cs="arial"/>
            <w:b w:val="0"/>
            <w:i/>
            <w:strike w:val="0"/>
            <w:noProof w:val="0"/>
            <w:color w:val="0077CC"/>
            <w:position w:val="0"/>
            <w:sz w:val="18"/>
            <w:u w:val="single"/>
            <w:shd w:val="clear" w:color="auto" w:fill="FFFFFF"/>
            <w:vertAlign w:val="baseline"/>
          </w:rPr>
          <w:t>Coltrain v. Shewalter</w:t>
        </w:r>
      </w:hyperlink>
      <w:hyperlink r:id="rId10" w:history="1">
        <w:r>
          <w:rPr>
            <w:rFonts w:ascii="arial" w:eastAsia="arial" w:hAnsi="arial" w:cs="arial"/>
            <w:b w:val="0"/>
            <w:i/>
            <w:strike w:val="0"/>
            <w:noProof w:val="0"/>
            <w:color w:val="0077CC"/>
            <w:position w:val="0"/>
            <w:sz w:val="18"/>
            <w:u w:val="single"/>
            <w:shd w:val="clear" w:color="auto" w:fill="FFFFFF"/>
            <w:vertAlign w:val="baseline"/>
          </w:rPr>
          <w:t>, 66 CalApp 4th 94, 107(IV) (Cal. Ct. App. 1998)</w:t>
        </w:r>
      </w:hyperlink>
      <w:r>
        <w:rPr>
          <w:rFonts w:ascii="arial" w:eastAsia="arial" w:hAnsi="arial" w:cs="arial"/>
          <w:b w:val="0"/>
          <w:i w:val="0"/>
          <w:strike w:val="0"/>
          <w:noProof w:val="0"/>
          <w:color w:val="000000"/>
          <w:position w:val="0"/>
          <w:sz w:val="18"/>
          <w:u w:val="none"/>
          <w:vertAlign w:val="baseline"/>
        </w:rPr>
        <w:t xml:space="preserve"> (concluding that court has discretion to determine if defendant is prevailing party based on an analysis of “which party realized its objectives in the litigation”).</w:t>
      </w:r>
    </w:p>
  </w:footnote>
  <w:footnote w:id="6">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71" w:name="Bookmark_fnpara_5"/>
      <w:bookmarkEnd w:id="71"/>
      <w:bookmarkStart w:id="72" w:name="Bookmark_I08HC7MFTPP003MK8G600B16"/>
      <w:bookmarkEnd w:id="72"/>
      <w:r>
        <w:rPr>
          <w:rFonts w:ascii="arial" w:eastAsia="arial" w:hAnsi="arial" w:cs="arial"/>
          <w:b w:val="0"/>
          <w:i w:val="0"/>
          <w:strike w:val="0"/>
          <w:noProof w:val="0"/>
          <w:color w:val="000000"/>
          <w:position w:val="0"/>
          <w:sz w:val="18"/>
          <w:u w:val="none"/>
          <w:vertAlign w:val="baseline"/>
        </w:rPr>
        <w:t xml:space="preserve">Trabue’s contention that the trial court lacked jurisdiction over the abusive litigation suit because it was not ripe is misplaced in this context. Flint still incurred expenses for defending against the suit and he moved for fees prior to the plaintiff’s voluntary dismissal. </w:t>
      </w:r>
      <w:bookmarkStart w:id="73" w:name="Bookmark_I08HC7MFTPP003MK8G600B18"/>
      <w:bookmarkEnd w:id="73"/>
      <w:r>
        <w:rPr>
          <w:rFonts w:ascii="arial" w:eastAsia="arial" w:hAnsi="arial" w:cs="arial"/>
          <w:b w:val="0"/>
          <w:i w:val="0"/>
          <w:strike w:val="0"/>
          <w:noProof w:val="0"/>
          <w:color w:val="000000"/>
          <w:position w:val="0"/>
          <w:sz w:val="18"/>
          <w:u w:val="none"/>
          <w:vertAlign w:val="baseline"/>
        </w:rPr>
        <w:t xml:space="preserve">See </w:t>
      </w:r>
      <w:bookmarkStart w:id="74" w:name="Bookmark_I08HC7MFTPP003MK8G600B15"/>
      <w:bookmarkEnd w:id="74"/>
      <w:hyperlink r:id="rId11" w:history="1">
        <w:r>
          <w:rPr>
            <w:rFonts w:ascii="arial" w:eastAsia="arial" w:hAnsi="arial" w:cs="arial"/>
            <w:b w:val="0"/>
            <w:i/>
            <w:strike w:val="0"/>
            <w:noProof w:val="0"/>
            <w:color w:val="0077CC"/>
            <w:position w:val="0"/>
            <w:sz w:val="18"/>
            <w:u w:val="single"/>
            <w:shd w:val="clear" w:color="auto" w:fill="FFFFFF"/>
            <w:vertAlign w:val="baseline"/>
          </w:rPr>
          <w:t>Catlin Ins. Co. v. Danko Meredith Law Firm</w:t>
        </w:r>
      </w:hyperlink>
      <w:hyperlink r:id="rId12" w:history="1">
        <w:r>
          <w:rPr>
            <w:rFonts w:ascii="arial" w:eastAsia="arial" w:hAnsi="arial" w:cs="arial"/>
            <w:b w:val="0"/>
            <w:i/>
            <w:strike w:val="0"/>
            <w:noProof w:val="0"/>
            <w:color w:val="0077CC"/>
            <w:position w:val="0"/>
            <w:sz w:val="18"/>
            <w:u w:val="single"/>
            <w:shd w:val="clear" w:color="auto" w:fill="FFFFFF"/>
            <w:vertAlign w:val="baseline"/>
          </w:rPr>
          <w:t>, 73 CalApp 5th 764, 774(III)(B)(2) (Cal. Ct. App. 2022)</w:t>
        </w:r>
      </w:hyperlink>
      <w:r>
        <w:rPr>
          <w:rFonts w:ascii="arial" w:eastAsia="arial" w:hAnsi="arial" w:cs="arial"/>
          <w:b w:val="0"/>
          <w:i w:val="0"/>
          <w:strike w:val="0"/>
          <w:noProof w:val="0"/>
          <w:color w:val="000000"/>
          <w:position w:val="0"/>
          <w:sz w:val="18"/>
          <w:u w:val="none"/>
          <w:vertAlign w:val="baseline"/>
        </w:rPr>
        <w:t xml:space="preserve">. </w:t>
      </w:r>
      <w:bookmarkStart w:id="75" w:name="Bookmark_I08HC7MFTPP003MK8G600B18_2"/>
      <w:bookmarkEnd w:id="75"/>
      <w:r>
        <w:rPr>
          <w:rFonts w:ascii="arial" w:eastAsia="arial" w:hAnsi="arial" w:cs="arial"/>
          <w:b w:val="0"/>
          <w:i w:val="0"/>
          <w:strike w:val="0"/>
          <w:noProof w:val="0"/>
          <w:color w:val="000000"/>
          <w:position w:val="0"/>
          <w:sz w:val="18"/>
          <w:u w:val="none"/>
          <w:vertAlign w:val="baseline"/>
        </w:rPr>
        <w:t xml:space="preserve">Given the rationale behind the </w:t>
      </w:r>
      <w:hyperlink r:id="rId13" w:history="1">
        <w:r>
          <w:rPr>
            <w:rFonts w:ascii="arial" w:eastAsia="arial" w:hAnsi="arial" w:cs="arial"/>
            <w:b w:val="0"/>
            <w:i/>
            <w:strike w:val="0"/>
            <w:noProof w:val="0"/>
            <w:color w:val="0077CC"/>
            <w:position w:val="0"/>
            <w:sz w:val="18"/>
            <w:u w:val="single"/>
            <w:shd w:val="clear" w:color="auto" w:fill="FFFFFF"/>
            <w:vertAlign w:val="baseline"/>
          </w:rPr>
          <w:t>anti-SLAPP statute</w:t>
        </w:r>
      </w:hyperlink>
      <w:r>
        <w:rPr>
          <w:rFonts w:ascii="arial" w:eastAsia="arial" w:hAnsi="arial" w:cs="arial"/>
          <w:b w:val="0"/>
          <w:i w:val="0"/>
          <w:strike w:val="0"/>
          <w:noProof w:val="0"/>
          <w:color w:val="000000"/>
          <w:position w:val="0"/>
          <w:sz w:val="18"/>
          <w:u w:val="none"/>
          <w:vertAlign w:val="baseline"/>
        </w:rPr>
        <w:t xml:space="preserve">, Flint would still be entitled to fees related to the motion to strike. Our recent decision in </w:t>
      </w:r>
      <w:bookmarkStart w:id="76" w:name="Bookmark_I08HC7MFTPP003MK8G600B17"/>
      <w:bookmarkEnd w:id="76"/>
      <w:hyperlink r:id="rId14" w:history="1">
        <w:r>
          <w:rPr>
            <w:rFonts w:ascii="arial" w:eastAsia="arial" w:hAnsi="arial" w:cs="arial"/>
            <w:b w:val="0"/>
            <w:i/>
            <w:strike w:val="0"/>
            <w:noProof w:val="0"/>
            <w:color w:val="0077CC"/>
            <w:position w:val="0"/>
            <w:sz w:val="18"/>
            <w:u w:val="single"/>
            <w:shd w:val="clear" w:color="auto" w:fill="FFFFFF"/>
            <w:vertAlign w:val="baseline"/>
          </w:rPr>
          <w:t>Publix Super Markets v. Rockdale County</w:t>
        </w:r>
      </w:hyperlink>
      <w:hyperlink r:id="rId15" w:history="1">
        <w:r>
          <w:rPr>
            <w:rFonts w:ascii="arial" w:eastAsia="arial" w:hAnsi="arial" w:cs="arial"/>
            <w:b w:val="0"/>
            <w:i/>
            <w:strike w:val="0"/>
            <w:noProof w:val="0"/>
            <w:color w:val="0077CC"/>
            <w:position w:val="0"/>
            <w:sz w:val="18"/>
            <w:u w:val="single"/>
            <w:shd w:val="clear" w:color="auto" w:fill="FFFFFF"/>
            <w:vertAlign w:val="baseline"/>
          </w:rPr>
          <w:t>, 375 Ga. App. 94, 100(c) (913 SE2d 851) (2025)</w:t>
        </w:r>
      </w:hyperlink>
      <w:r>
        <w:rPr>
          <w:rFonts w:ascii="arial" w:eastAsia="arial" w:hAnsi="arial" w:cs="arial"/>
          <w:b w:val="0"/>
          <w:i w:val="0"/>
          <w:strike w:val="0"/>
          <w:noProof w:val="0"/>
          <w:color w:val="000000"/>
          <w:position w:val="0"/>
          <w:sz w:val="18"/>
          <w:u w:val="none"/>
          <w:vertAlign w:val="baseline"/>
        </w:rPr>
        <w:t xml:space="preserve">, does not dictate a different result. In that case, we held the trial court erred by considering the anti-SLAPP motion where the underlying declaratory judgment action should have been dismissed on justiciability grounds. Moreover, in the instant case, the trial court did not rule on the merits of the underlying abusive litigation suit or the motion to strike. </w:t>
      </w:r>
      <w:bookmarkStart w:id="77" w:name="Bookmark_II08HC7PMMR6003RS3K3002C7"/>
      <w:bookmarkEnd w:id="77"/>
      <w:bookmarkStart w:id="78" w:name="Bookmark_II08HC7PMMR6003RS3K3002C8"/>
      <w:bookmarkEnd w:id="78"/>
      <w:bookmarkStart w:id="79" w:name="Bookmark_II08HC7PMMR6003RS3K3002C9"/>
      <w:bookmarkEnd w:id="79"/>
      <w:bookmarkStart w:id="80" w:name="Bookmark_I08HC7MKYRR003MK8G600C64"/>
      <w:bookmarkEnd w:id="80"/>
      <w:r>
        <w:rPr>
          <w:rFonts w:ascii="arial" w:eastAsia="arial" w:hAnsi="arial" w:cs="arial"/>
          <w:b w:val="0"/>
          <w:i w:val="0"/>
          <w:strike w:val="0"/>
          <w:noProof w:val="0"/>
          <w:color w:val="000000"/>
          <w:position w:val="0"/>
          <w:sz w:val="18"/>
          <w:u w:val="none"/>
          <w:vertAlign w:val="baseline"/>
        </w:rPr>
        <w:t xml:space="preserve">It simply conducted the proper review to determine if Flint was the prevailing moving party. </w:t>
      </w:r>
      <w:bookmarkStart w:id="81" w:name="Bookmark_I08HC7MM0KH003MK8G600C6H"/>
      <w:bookmarkEnd w:id="81"/>
      <w:r>
        <w:rPr>
          <w:rFonts w:ascii="arial" w:eastAsia="arial" w:hAnsi="arial" w:cs="arial"/>
          <w:b w:val="0"/>
          <w:i w:val="0"/>
          <w:strike w:val="0"/>
          <w:noProof w:val="0"/>
          <w:color w:val="000000"/>
          <w:position w:val="0"/>
          <w:sz w:val="18"/>
          <w:u w:val="none"/>
          <w:vertAlign w:val="baseline"/>
        </w:rPr>
        <w:t xml:space="preserve">And, our cases to the contrary are distinguishable because they do not arise in the context of anti-SLAPP litigation. </w:t>
      </w:r>
      <w:bookmarkStart w:id="82" w:name="Bookmark_I08HC7MKYRR003MK8G600C63"/>
      <w:bookmarkEnd w:id="82"/>
      <w:hyperlink r:id="rId16" w:history="1">
        <w:r>
          <w:rPr>
            <w:rFonts w:ascii="arial" w:eastAsia="arial" w:hAnsi="arial" w:cs="arial"/>
            <w:b w:val="0"/>
            <w:i/>
            <w:strike w:val="0"/>
            <w:noProof w:val="0"/>
            <w:color w:val="0077CC"/>
            <w:position w:val="0"/>
            <w:sz w:val="18"/>
            <w:u w:val="single"/>
            <w:shd w:val="clear" w:color="auto" w:fill="FFFFFF"/>
            <w:vertAlign w:val="baseline"/>
          </w:rPr>
          <w:t>Hutchinson v. Composite State Bd. of Med. Exam’s</w:t>
        </w:r>
      </w:hyperlink>
      <w:hyperlink r:id="rId17" w:history="1">
        <w:r>
          <w:rPr>
            <w:rFonts w:ascii="arial" w:eastAsia="arial" w:hAnsi="arial" w:cs="arial"/>
            <w:b w:val="0"/>
            <w:i/>
            <w:strike w:val="0"/>
            <w:noProof w:val="0"/>
            <w:color w:val="0077CC"/>
            <w:position w:val="0"/>
            <w:sz w:val="18"/>
            <w:u w:val="single"/>
            <w:shd w:val="clear" w:color="auto" w:fill="FFFFFF"/>
            <w:vertAlign w:val="baseline"/>
          </w:rPr>
          <w:t>, 263 Ga. 186, 187(2) (429 SE2d 661) (1993)</w:t>
        </w:r>
      </w:hyperlink>
      <w:r>
        <w:rPr>
          <w:rFonts w:ascii="arial" w:eastAsia="arial" w:hAnsi="arial" w:cs="arial"/>
          <w:b w:val="0"/>
          <w:i w:val="0"/>
          <w:strike w:val="0"/>
          <w:noProof w:val="0"/>
          <w:color w:val="000000"/>
          <w:position w:val="0"/>
          <w:sz w:val="18"/>
          <w:u w:val="none"/>
          <w:vertAlign w:val="baseline"/>
        </w:rPr>
        <w:t xml:space="preserve"> (appellant was not “prevailing party” where trial court did not rule on the merits); </w:t>
      </w:r>
      <w:bookmarkStart w:id="83" w:name="Bookmark_I08HC7MKYRR003MK8G600C65"/>
      <w:bookmarkEnd w:id="83"/>
      <w:hyperlink r:id="rId18" w:history="1">
        <w:r>
          <w:rPr>
            <w:rFonts w:ascii="arial" w:eastAsia="arial" w:hAnsi="arial" w:cs="arial"/>
            <w:b w:val="0"/>
            <w:i/>
            <w:strike w:val="0"/>
            <w:noProof w:val="0"/>
            <w:color w:val="0077CC"/>
            <w:position w:val="0"/>
            <w:sz w:val="18"/>
            <w:u w:val="single"/>
            <w:shd w:val="clear" w:color="auto" w:fill="FFFFFF"/>
            <w:vertAlign w:val="baseline"/>
          </w:rPr>
          <w:t>Floyd v. Logisticare</w:t>
        </w:r>
      </w:hyperlink>
      <w:hyperlink r:id="rId19" w:history="1">
        <w:r>
          <w:rPr>
            <w:rFonts w:ascii="arial" w:eastAsia="arial" w:hAnsi="arial" w:cs="arial"/>
            <w:b w:val="0"/>
            <w:i/>
            <w:strike w:val="0"/>
            <w:noProof w:val="0"/>
            <w:color w:val="0077CC"/>
            <w:position w:val="0"/>
            <w:sz w:val="18"/>
            <w:u w:val="single"/>
            <w:shd w:val="clear" w:color="auto" w:fill="FFFFFF"/>
            <w:vertAlign w:val="baseline"/>
          </w:rPr>
          <w:t>, 255 Ga. App. 702, 703(2) (566 SE2d 423) (2002)</w:t>
        </w:r>
      </w:hyperlink>
      <w:r>
        <w:rPr>
          <w:rFonts w:ascii="arial" w:eastAsia="arial" w:hAnsi="arial" w:cs="arial"/>
          <w:b w:val="0"/>
          <w:i w:val="0"/>
          <w:strike w:val="0"/>
          <w:noProof w:val="0"/>
          <w:color w:val="000000"/>
          <w:position w:val="0"/>
          <w:sz w:val="18"/>
          <w:u w:val="none"/>
          <w:vertAlign w:val="baseline"/>
        </w:rPr>
        <w:t xml:space="preserve"> (defendant was not a prevailing party where plaintiff’s suit was dismissed without prejudice for want of prosecution and counterclaim remained pending); </w:t>
      </w:r>
      <w:bookmarkStart w:id="84" w:name="Bookmark_I08HC7MKYRR003MK8G600C67"/>
      <w:bookmarkEnd w:id="84"/>
      <w:hyperlink r:id="rId20" w:history="1">
        <w:r>
          <w:rPr>
            <w:rFonts w:ascii="arial" w:eastAsia="arial" w:hAnsi="arial" w:cs="arial"/>
            <w:b w:val="0"/>
            <w:i/>
            <w:strike w:val="0"/>
            <w:noProof w:val="0"/>
            <w:color w:val="0077CC"/>
            <w:position w:val="0"/>
            <w:sz w:val="18"/>
            <w:u w:val="single"/>
            <w:shd w:val="clear" w:color="auto" w:fill="FFFFFF"/>
            <w:vertAlign w:val="baseline"/>
          </w:rPr>
          <w:t>Morris v. Morris</w:t>
        </w:r>
      </w:hyperlink>
      <w:hyperlink r:id="rId21" w:history="1">
        <w:r>
          <w:rPr>
            <w:rFonts w:ascii="arial" w:eastAsia="arial" w:hAnsi="arial" w:cs="arial"/>
            <w:b w:val="0"/>
            <w:i/>
            <w:strike w:val="0"/>
            <w:noProof w:val="0"/>
            <w:color w:val="0077CC"/>
            <w:position w:val="0"/>
            <w:sz w:val="18"/>
            <w:u w:val="single"/>
            <w:shd w:val="clear" w:color="auto" w:fill="FFFFFF"/>
            <w:vertAlign w:val="baseline"/>
          </w:rPr>
          <w:t>, 222 Ga. App. 617, 618(1) (475 SE2d 676) (1996)</w:t>
        </w:r>
      </w:hyperlink>
      <w:r>
        <w:rPr>
          <w:rFonts w:ascii="arial" w:eastAsia="arial" w:hAnsi="arial" w:cs="arial"/>
          <w:b w:val="0"/>
          <w:i w:val="0"/>
          <w:strike w:val="0"/>
          <w:noProof w:val="0"/>
          <w:color w:val="000000"/>
          <w:position w:val="0"/>
          <w:sz w:val="18"/>
          <w:u w:val="none"/>
          <w:vertAlign w:val="baseline"/>
        </w:rPr>
        <w:t xml:space="preserve"> (voluntary dismissal without prejudice is not adjudication on the merits and thus defendant is not prevailing party under </w:t>
      </w:r>
      <w:hyperlink r:id="rId22" w:history="1">
        <w:r>
          <w:rPr>
            <w:rFonts w:ascii="arial" w:eastAsia="arial" w:hAnsi="arial" w:cs="arial"/>
            <w:b w:val="0"/>
            <w:i/>
            <w:strike w:val="0"/>
            <w:noProof w:val="0"/>
            <w:color w:val="0077CC"/>
            <w:position w:val="0"/>
            <w:sz w:val="18"/>
            <w:u w:val="single"/>
            <w:shd w:val="clear" w:color="auto" w:fill="FFFFFF"/>
            <w:vertAlign w:val="baseline"/>
          </w:rPr>
          <w:t>OCGA § 19-6-19(d)</w:t>
        </w:r>
      </w:hyperlink>
      <w:r>
        <w:rPr>
          <w:rFonts w:ascii="arial" w:eastAsia="arial" w:hAnsi="arial" w:cs="arial"/>
          <w:b w:val="0"/>
          <w:i w:val="0"/>
          <w:strike w:val="0"/>
          <w:noProof w:val="0"/>
          <w:color w:val="000000"/>
          <w:position w:val="0"/>
          <w:sz w:val="18"/>
          <w:u w:val="none"/>
          <w:vertAlign w:val="baseline"/>
        </w:rPr>
        <w:t xml:space="preserve">). </w:t>
      </w:r>
      <w:bookmarkStart w:id="85" w:name="Bookmark_I08HC7MM0KH003MK8G600C6H_2"/>
      <w:bookmarkEnd w:id="85"/>
      <w:r>
        <w:rPr>
          <w:rFonts w:ascii="arial" w:eastAsia="arial" w:hAnsi="arial" w:cs="arial"/>
          <w:b w:val="0"/>
          <w:i w:val="0"/>
          <w:strike w:val="0"/>
          <w:noProof w:val="0"/>
          <w:color w:val="000000"/>
          <w:position w:val="0"/>
          <w:sz w:val="18"/>
          <w:u w:val="none"/>
          <w:vertAlign w:val="baseline"/>
        </w:rPr>
        <w:t xml:space="preserve">In contrast, in the context of anti-SLAPP litigation, “when the plaintiff dismisses the complaint, it voluntarily cedes to the defendant all the relief the trial court could have granted if the matter had been pressed to a ruling.” See </w:t>
      </w:r>
      <w:bookmarkStart w:id="86" w:name="Bookmark_I08HC7MM0KH003MK8G600C6G"/>
      <w:bookmarkEnd w:id="86"/>
      <w:hyperlink r:id="rId23" w:history="1">
        <w:r>
          <w:rPr>
            <w:rFonts w:ascii="arial" w:eastAsia="arial" w:hAnsi="arial" w:cs="arial"/>
            <w:b w:val="0"/>
            <w:i/>
            <w:strike w:val="0"/>
            <w:noProof w:val="0"/>
            <w:color w:val="0077CC"/>
            <w:position w:val="0"/>
            <w:sz w:val="18"/>
            <w:u w:val="single"/>
            <w:shd w:val="clear" w:color="auto" w:fill="FFFFFF"/>
            <w:vertAlign w:val="baseline"/>
          </w:rPr>
          <w:t>Coltrain</w:t>
        </w:r>
      </w:hyperlink>
      <w:hyperlink r:id="rId24" w:history="1">
        <w:r>
          <w:rPr>
            <w:rFonts w:ascii="arial" w:eastAsia="arial" w:hAnsi="arial" w:cs="arial"/>
            <w:b w:val="0"/>
            <w:i/>
            <w:strike w:val="0"/>
            <w:noProof w:val="0"/>
            <w:color w:val="0077CC"/>
            <w:position w:val="0"/>
            <w:sz w:val="18"/>
            <w:u w:val="single"/>
            <w:shd w:val="clear" w:color="auto" w:fill="FFFFFF"/>
            <w:vertAlign w:val="baseline"/>
          </w:rPr>
          <w:t>, 66 CalApp 4th at 106(IV)</w:t>
        </w:r>
      </w:hyperlink>
      <w:r>
        <w:rPr>
          <w:rFonts w:ascii="arial" w:eastAsia="arial" w:hAnsi="arial" w:cs="arial"/>
          <w:b w:val="0"/>
          <w:i w:val="0"/>
          <w:strike w:val="0"/>
          <w:noProof w:val="0"/>
          <w:color w:val="000000"/>
          <w:position w:val="0"/>
          <w:sz w:val="18"/>
          <w:u w:val="none"/>
          <w:vertAlign w:val="baseline"/>
        </w:rPr>
        <w:t>.</w:t>
      </w:r>
    </w:p>
  </w:footnote>
  <w:footnote w:id="7">
    <w:p>
      <w:pPr>
        <w:spacing w:before="120" w:line="240" w:lineRule="atLeast"/>
        <w:jc w:val="both"/>
      </w:pPr>
      <w:r>
        <w:rPr>
          <w:rFonts w:ascii="arial" w:eastAsia="arial" w:hAnsi="arial" w:cs="arial"/>
          <w:b w:val="0"/>
          <w:i w:val="0"/>
          <w:strike w:val="0"/>
          <w:noProof w:val="0"/>
          <w:color w:val="000000"/>
          <w:position w:val="0"/>
          <w:sz w:val="18"/>
          <w:u w:val="none"/>
          <w:vertAlign w:val="superscript"/>
        </w:rPr>
        <w:t>6 </w:t>
      </w:r>
      <w:bookmarkStart w:id="89" w:name="Bookmark_fnpara_6"/>
      <w:bookmarkEnd w:id="89"/>
      <w:r>
        <w:rPr>
          <w:rFonts w:ascii="arial" w:eastAsia="arial" w:hAnsi="arial" w:cs="arial"/>
          <w:b w:val="0"/>
          <w:i w:val="0"/>
          <w:strike w:val="0"/>
          <w:noProof w:val="0"/>
          <w:color w:val="000000"/>
          <w:position w:val="0"/>
          <w:sz w:val="18"/>
          <w:u w:val="none"/>
          <w:vertAlign w:val="baseline"/>
        </w:rPr>
        <w:t>Notably, Trabue has not challenged the amount or reasonableness of the fee award with regard to either Flint or Hanson. We express no opinion on those issues.</w:t>
      </w:r>
    </w:p>
  </w:footnote>
  <w:footnote w:id="8">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7 </w:t>
      </w:r>
      <w:bookmarkStart w:id="111" w:name="Bookmark_fnpara_7"/>
      <w:bookmarkEnd w:id="111"/>
      <w:r>
        <w:rPr>
          <w:rFonts w:ascii="arial" w:eastAsia="arial" w:hAnsi="arial" w:cs="arial"/>
          <w:b w:val="0"/>
          <w:i w:val="0"/>
          <w:strike w:val="0"/>
          <w:noProof w:val="0"/>
          <w:color w:val="000000"/>
          <w:position w:val="0"/>
          <w:sz w:val="18"/>
          <w:u w:val="none"/>
          <w:vertAlign w:val="baseline"/>
        </w:rPr>
        <w:t xml:space="preserve">The cases on which Trabue relies are distinguishable, as they involved counterclaims for fees. See </w:t>
      </w:r>
      <w:bookmarkStart w:id="112" w:name="Bookmark_I08HC7MMD73003MC99300CN7"/>
      <w:bookmarkEnd w:id="112"/>
      <w:hyperlink r:id="rId25" w:history="1">
        <w:r>
          <w:rPr>
            <w:rFonts w:ascii="arial" w:eastAsia="arial" w:hAnsi="arial" w:cs="arial"/>
            <w:b w:val="0"/>
            <w:i/>
            <w:strike w:val="0"/>
            <w:noProof w:val="0"/>
            <w:color w:val="0077CC"/>
            <w:position w:val="0"/>
            <w:sz w:val="18"/>
            <w:u w:val="single"/>
            <w:shd w:val="clear" w:color="auto" w:fill="FFFFFF"/>
            <w:vertAlign w:val="baseline"/>
          </w:rPr>
          <w:t>McCullough v. McCullough</w:t>
        </w:r>
      </w:hyperlink>
      <w:hyperlink r:id="rId26" w:history="1">
        <w:r>
          <w:rPr>
            <w:rFonts w:ascii="arial" w:eastAsia="arial" w:hAnsi="arial" w:cs="arial"/>
            <w:b w:val="0"/>
            <w:i/>
            <w:strike w:val="0"/>
            <w:noProof w:val="0"/>
            <w:color w:val="0077CC"/>
            <w:position w:val="0"/>
            <w:sz w:val="18"/>
            <w:u w:val="single"/>
            <w:shd w:val="clear" w:color="auto" w:fill="FFFFFF"/>
            <w:vertAlign w:val="baseline"/>
          </w:rPr>
          <w:t>, 263 Ga. 794, 795(3) (439 SE2d 486) (1994)</w:t>
        </w:r>
      </w:hyperlink>
      <w:r>
        <w:rPr>
          <w:rFonts w:ascii="arial" w:eastAsia="arial" w:hAnsi="arial" w:cs="arial"/>
          <w:b w:val="0"/>
          <w:i w:val="0"/>
          <w:strike w:val="0"/>
          <w:noProof w:val="0"/>
          <w:color w:val="000000"/>
          <w:position w:val="0"/>
          <w:sz w:val="18"/>
          <w:u w:val="none"/>
          <w:vertAlign w:val="baseline"/>
        </w:rPr>
        <w:t xml:space="preserve">; </w:t>
      </w:r>
      <w:bookmarkStart w:id="113" w:name="Bookmark_I08HC7MMD73003MC99300CN9"/>
      <w:bookmarkEnd w:id="113"/>
      <w:hyperlink r:id="rId27" w:history="1">
        <w:r>
          <w:rPr>
            <w:rFonts w:ascii="arial" w:eastAsia="arial" w:hAnsi="arial" w:cs="arial"/>
            <w:b w:val="0"/>
            <w:i/>
            <w:strike w:val="0"/>
            <w:noProof w:val="0"/>
            <w:color w:val="0077CC"/>
            <w:position w:val="0"/>
            <w:sz w:val="18"/>
            <w:u w:val="single"/>
            <w:shd w:val="clear" w:color="auto" w:fill="FFFFFF"/>
            <w:vertAlign w:val="baseline"/>
          </w:rPr>
          <w:t>Generali — U. S. Branch v. Owens</w:t>
        </w:r>
      </w:hyperlink>
      <w:hyperlink r:id="rId28" w:history="1">
        <w:r>
          <w:rPr>
            <w:rFonts w:ascii="arial" w:eastAsia="arial" w:hAnsi="arial" w:cs="arial"/>
            <w:b w:val="0"/>
            <w:i/>
            <w:strike w:val="0"/>
            <w:noProof w:val="0"/>
            <w:color w:val="0077CC"/>
            <w:position w:val="0"/>
            <w:sz w:val="18"/>
            <w:u w:val="single"/>
            <w:shd w:val="clear" w:color="auto" w:fill="FFFFFF"/>
            <w:vertAlign w:val="baseline"/>
          </w:rPr>
          <w:t>, 218 Ga. App. 584, 585(2) (462 SE2d 464) (1995)</w:t>
        </w:r>
      </w:hyperlink>
      <w:r>
        <w:rPr>
          <w:rFonts w:ascii="arial" w:eastAsia="arial" w:hAnsi="arial" w:cs="arial"/>
          <w:b w:val="0"/>
          <w:i w:val="0"/>
          <w:strike w:val="0"/>
          <w:noProof w:val="0"/>
          <w:color w:val="000000"/>
          <w:position w:val="0"/>
          <w:sz w:val="18"/>
          <w:u w:val="none"/>
          <w:vertAlign w:val="baseline"/>
        </w:rPr>
        <w:t xml:space="preserve">; </w:t>
      </w:r>
      <w:bookmarkStart w:id="114" w:name="Bookmark_I08HC7MMKK4003MC99300CS8"/>
      <w:bookmarkEnd w:id="114"/>
      <w:hyperlink r:id="rId29" w:history="1">
        <w:r>
          <w:rPr>
            <w:rFonts w:ascii="arial" w:eastAsia="arial" w:hAnsi="arial" w:cs="arial"/>
            <w:b w:val="0"/>
            <w:i/>
            <w:strike w:val="0"/>
            <w:noProof w:val="0"/>
            <w:color w:val="0077CC"/>
            <w:position w:val="0"/>
            <w:sz w:val="18"/>
            <w:u w:val="single"/>
            <w:shd w:val="clear" w:color="auto" w:fill="FFFFFF"/>
            <w:vertAlign w:val="baseline"/>
          </w:rPr>
          <w:t>Hutchison v. Divorce &amp; Custody Law Ctr. of Arline Kerman &amp; Assocs.</w:t>
        </w:r>
      </w:hyperlink>
      <w:hyperlink r:id="rId30" w:history="1">
        <w:r>
          <w:rPr>
            <w:rFonts w:ascii="arial" w:eastAsia="arial" w:hAnsi="arial" w:cs="arial"/>
            <w:b w:val="0"/>
            <w:i/>
            <w:strike w:val="0"/>
            <w:noProof w:val="0"/>
            <w:color w:val="0077CC"/>
            <w:position w:val="0"/>
            <w:sz w:val="18"/>
            <w:u w:val="single"/>
            <w:shd w:val="clear" w:color="auto" w:fill="FFFFFF"/>
            <w:vertAlign w:val="baseline"/>
          </w:rPr>
          <w:t>, 207 Ga. App. 421, 423 (427 SE2d 784) (1993)</w:t>
        </w:r>
      </w:hyperlink>
      <w:r>
        <w:rPr>
          <w:rFonts w:ascii="arial" w:eastAsia="arial" w:hAnsi="arial" w:cs="arial"/>
          <w:b w:val="0"/>
          <w:i w:val="0"/>
          <w:strike w:val="0"/>
          <w:noProof w:val="0"/>
          <w:color w:val="000000"/>
          <w:position w:val="0"/>
          <w:sz w:val="18"/>
          <w:u w:val="none"/>
          <w:vertAlign w:val="baseline"/>
        </w:rPr>
        <w:t>.</w:t>
      </w:r>
    </w:p>
  </w:footnote>
  <w:footnote w:id="9">
    <w:p>
      <w:pPr>
        <w:spacing w:before="120" w:line="240" w:lineRule="atLeast"/>
        <w:jc w:val="both"/>
      </w:pPr>
      <w:r>
        <w:rPr>
          <w:rFonts w:ascii="arial" w:eastAsia="arial" w:hAnsi="arial" w:cs="arial"/>
          <w:b w:val="0"/>
          <w:i w:val="0"/>
          <w:strike w:val="0"/>
          <w:noProof w:val="0"/>
          <w:color w:val="000000"/>
          <w:position w:val="0"/>
          <w:sz w:val="18"/>
          <w:u w:val="none"/>
          <w:vertAlign w:val="superscript"/>
        </w:rPr>
        <w:t>8 </w:t>
      </w:r>
      <w:bookmarkStart w:id="134" w:name="Bookmark_fnpara_8"/>
      <w:bookmarkEnd w:id="134"/>
      <w:r>
        <w:rPr>
          <w:rFonts w:ascii="arial" w:eastAsia="arial" w:hAnsi="arial" w:cs="arial"/>
          <w:b w:val="0"/>
          <w:i w:val="0"/>
          <w:strike w:val="0"/>
          <w:noProof w:val="0"/>
          <w:color w:val="000000"/>
          <w:position w:val="0"/>
          <w:sz w:val="18"/>
          <w:u w:val="none"/>
          <w:vertAlign w:val="baseline"/>
        </w:rPr>
        <w:t>Although Trabue argues that the trial court reached inconsistent factual findings by concluding that the abusive litigation suit was both too early and too late, a close reading of the trial court’s order shows that it found the suit untimely because it was outside the statute of limitation. It then noted that it would be untimely under Trabue’s theory as well.</w:t>
      </w:r>
    </w:p>
  </w:footnote>
  <w:footnote w:id="10">
    <w:p>
      <w:pPr>
        <w:spacing w:before="120" w:line="240" w:lineRule="atLeast"/>
        <w:jc w:val="both"/>
      </w:pPr>
      <w:r>
        <w:rPr>
          <w:rFonts w:ascii="arial" w:eastAsia="arial" w:hAnsi="arial" w:cs="arial"/>
          <w:b w:val="0"/>
          <w:i w:val="0"/>
          <w:strike w:val="0"/>
          <w:noProof w:val="0"/>
          <w:color w:val="000000"/>
          <w:position w:val="0"/>
          <w:sz w:val="18"/>
          <w:u w:val="none"/>
          <w:vertAlign w:val="superscript"/>
        </w:rPr>
        <w:t>9 </w:t>
      </w:r>
      <w:bookmarkStart w:id="137" w:name="Bookmark_fnpara_9"/>
      <w:bookmarkEnd w:id="137"/>
      <w:r>
        <w:rPr>
          <w:rFonts w:ascii="arial" w:eastAsia="arial" w:hAnsi="arial" w:cs="arial"/>
          <w:b w:val="0"/>
          <w:i w:val="0"/>
          <w:strike w:val="0"/>
          <w:noProof w:val="0"/>
          <w:color w:val="000000"/>
          <w:position w:val="0"/>
          <w:sz w:val="18"/>
          <w:u w:val="none"/>
          <w:vertAlign w:val="baseline"/>
        </w:rPr>
        <w:t>To the extent that Trabue argues the trial court erred by granting a lump sum fee award and by failing to award fees only as it related to the sanctionable conduct, it is noteworthy that the sole basis for fees was the defense of the abusive litigation suit. There was no other conduct for which the attorneys sought reimbursement except as related to the work done on those motions.</w:t>
      </w:r>
    </w:p>
  </w:footnote>
  <w:footnote w:id="11">
    <w:p>
      <w:pPr>
        <w:spacing w:before="120" w:line="240" w:lineRule="atLeast"/>
        <w:jc w:val="both"/>
      </w:pPr>
      <w:r>
        <w:rPr>
          <w:rFonts w:ascii="arial" w:eastAsia="arial" w:hAnsi="arial" w:cs="arial"/>
          <w:b w:val="0"/>
          <w:i w:val="0"/>
          <w:strike w:val="0"/>
          <w:noProof w:val="0"/>
          <w:color w:val="000000"/>
          <w:position w:val="0"/>
          <w:sz w:val="18"/>
          <w:u w:val="none"/>
          <w:vertAlign w:val="superscript"/>
        </w:rPr>
        <w:t>10 </w:t>
      </w:r>
      <w:bookmarkStart w:id="146" w:name="Bookmark_fnpara_10"/>
      <w:bookmarkEnd w:id="146"/>
      <w:r>
        <w:rPr>
          <w:rFonts w:ascii="arial" w:eastAsia="arial" w:hAnsi="arial" w:cs="arial"/>
          <w:b w:val="0"/>
          <w:i w:val="0"/>
          <w:strike w:val="0"/>
          <w:noProof w:val="0"/>
          <w:color w:val="000000"/>
          <w:position w:val="0"/>
          <w:sz w:val="18"/>
          <w:u w:val="none"/>
          <w:vertAlign w:val="baseline"/>
        </w:rPr>
        <w:t>By our conclusion here, we do not mean to suggest that Trabue is barred from bringing an abusive litigation suit upon the conclusion of the underlying case, and we express no opinion on the merits of Trabue’s abusive litigation claims.</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tc>
    </w:tr>
    <w:tr>
      <w:tblPrEx>
        <w:tblW w:w="10080" w:type="dxa"/>
        <w:tblLayout w:type="fixed"/>
      </w:tblPrEx>
      <w:tc>
        <w:tcPr>
          <w:tcW w:w="10080" w:type="dxa"/>
        </w:tcPr>
        <w:p>
          <w:pPr>
            <w:spacing w:before="60" w:after="200"/>
            <w:jc w:val="center"/>
          </w:pPr>
          <w:r>
            <w:rPr>
              <w:rFonts w:ascii="arial" w:eastAsia="arial" w:hAnsi="arial" w:cs="arial"/>
              <w:sz w:val="20"/>
            </w:rPr>
            <w:t>Trabue v. Hanson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plus.lexis.com/api/document?collection=statutes-legislation&amp;id=urn:contentItem:6348-FS71-DYB7-W4KK-00000-00&amp;context=1530671" TargetMode="External" /><Relationship Id="rId100" Type="http://schemas.openxmlformats.org/officeDocument/2006/relationships/hyperlink" Target="https://plus.lexis.com/api/document?collection=cases&amp;id=urn:contentItem:3RX8-CJK0-003G-P0TH-00000-00&amp;context=1530671" TargetMode="External" /><Relationship Id="rId101" Type="http://schemas.openxmlformats.org/officeDocument/2006/relationships/hyperlink" Target="https://plus.lexis.com/api/document?collection=cases&amp;id=urn:contentItem:3RX8-CJK0-003G-P0TH-00000-00&amp;context=1530671" TargetMode="External" /><Relationship Id="rId102" Type="http://schemas.openxmlformats.org/officeDocument/2006/relationships/hyperlink" Target="https://plus.lexis.com/api/document?collection=cases&amp;id=urn:contentItem:4X79-BRG0-TXFS-C3BY-00000-00&amp;context=1530671" TargetMode="External" /><Relationship Id="rId103" Type="http://schemas.openxmlformats.org/officeDocument/2006/relationships/hyperlink" Target="https://plus.lexis.com/api/document?collection=cases&amp;id=urn:contentItem:4X79-BRG0-TXFS-C3BY-00000-00&amp;context=1530671" TargetMode="External" /><Relationship Id="rId104" Type="http://schemas.openxmlformats.org/officeDocument/2006/relationships/hyperlink" Target="https://plus.lexis.com/api/document?collection=statutes-legislation&amp;id=urn:contentItem:6348-FS71-DYB7-W4KK-00000-00&amp;context=1530671" TargetMode="External" /><Relationship Id="rId105" Type="http://schemas.openxmlformats.org/officeDocument/2006/relationships/hyperlink" Target="https://plus.lexis.com/api/document?collection=statutes-legislation&amp;id=urn:contentItem:6348-FS71-DYB7-W4KK-00000-00&amp;context=1530671" TargetMode="External" /><Relationship Id="rId106" Type="http://schemas.openxmlformats.org/officeDocument/2006/relationships/hyperlink" Target="https://plus.lexis.com/api/document?collection=statutes-legislation&amp;id=urn:contentItem:6348-FS71-DYB7-W4KK-00000-00&amp;context=1530671" TargetMode="External" /><Relationship Id="rId107" Type="http://schemas.openxmlformats.org/officeDocument/2006/relationships/hyperlink" Target="https://plus.lexis.com/api/document?collection=cases&amp;id=urn:contentItem:5PKD-8GJ1-F04F-T1FR-00000-00&amp;context=1530671" TargetMode="External" /><Relationship Id="rId108" Type="http://schemas.openxmlformats.org/officeDocument/2006/relationships/hyperlink" Target="https://plus.lexis.com/api/document?collection=cases&amp;id=urn:contentItem:5PKD-8GJ1-F04F-T1FR-00000-00&amp;context=1530671" TargetMode="External" /><Relationship Id="rId109" Type="http://schemas.openxmlformats.org/officeDocument/2006/relationships/hyperlink" Target="https://plus.lexis.com/api/document?collection=statutes-legislation&amp;id=urn:contentItem:6348-FS71-DYB7-W4KK-00000-00&amp;context=1530671" TargetMode="External" /><Relationship Id="rId11" Type="http://schemas.openxmlformats.org/officeDocument/2006/relationships/hyperlink" Target="https://plus.lexis.com/api/document?collection=statutes-legislation&amp;id=urn:contentItem:6348-FS71-DYB7-W455-00000-00&amp;context=1530671" TargetMode="External" /><Relationship Id="rId110" Type="http://schemas.openxmlformats.org/officeDocument/2006/relationships/hyperlink" Target="https://plus.lexis.com/api/document?collection=cases&amp;id=urn:contentItem:5PKD-8GJ1-F04F-T1FR-00000-00&amp;context=1530671" TargetMode="External" /><Relationship Id="rId111" Type="http://schemas.openxmlformats.org/officeDocument/2006/relationships/hyperlink" Target="https://plus.lexis.com/api/document?collection=cases&amp;id=urn:contentItem:5PKD-8GJ1-F04F-T1FR-00000-00&amp;context=1530671" TargetMode="External" /><Relationship Id="rId112" Type="http://schemas.openxmlformats.org/officeDocument/2006/relationships/hyperlink" Target="https://plus.lexis.com/api/document?collection=cases&amp;id=urn:contentItem:5PKD-8GJ1-F04F-T1FR-00000-00&amp;context=1530671" TargetMode="External" /><Relationship Id="rId113" Type="http://schemas.openxmlformats.org/officeDocument/2006/relationships/hyperlink" Target="https://plus.lexis.com/api/document?collection=cases&amp;id=urn:contentItem:5PKD-8GJ1-F04F-T1FR-00000-00&amp;context=1530671" TargetMode="External" /><Relationship Id="rId114" Type="http://schemas.openxmlformats.org/officeDocument/2006/relationships/hyperlink" Target="https://plus.lexis.com/api/document?collection=cases&amp;id=urn:contentItem:4CDC-75K0-0039-4207-00000-00&amp;context=1530671" TargetMode="External" /><Relationship Id="rId115" Type="http://schemas.openxmlformats.org/officeDocument/2006/relationships/hyperlink" Target="https://plus.lexis.com/api/document?collection=cases&amp;id=urn:contentItem:4CDC-75K0-0039-4207-00000-00&amp;context=1530671" TargetMode="External" /><Relationship Id="rId116" Type="http://schemas.openxmlformats.org/officeDocument/2006/relationships/hyperlink" Target="https://plus.lexis.com/api/document?collection=statutes-legislation&amp;id=urn:contentItem:6348-FS71-DYB7-W4KK-00000-00&amp;context=1530671" TargetMode="External" /><Relationship Id="rId117" Type="http://schemas.openxmlformats.org/officeDocument/2006/relationships/hyperlink" Target="https://plus.lexis.com/api/document?collection=statutes-legislation&amp;id=urn:contentItem:6348-FS71-DYB7-W4KK-00000-00&amp;context=1530671" TargetMode="External" /><Relationship Id="rId118" Type="http://schemas.openxmlformats.org/officeDocument/2006/relationships/hyperlink" Target="https://plus.lexis.com/api/document?collection=cases&amp;id=urn:contentItem:5SCH-CFV1-JC5P-G392-00000-00&amp;context=1530671" TargetMode="External" /><Relationship Id="rId119" Type="http://schemas.openxmlformats.org/officeDocument/2006/relationships/hyperlink" Target="https://plus.lexis.com/api/document?collection=cases&amp;id=urn:contentItem:5SCH-CFV1-JC5P-G392-00000-00&amp;context=1530671" TargetMode="External" /><Relationship Id="rId12" Type="http://schemas.openxmlformats.org/officeDocument/2006/relationships/hyperlink" Target="https://plus.lexis.com/api/document?collection=cases&amp;id=urn:contentItem:5VKC-3RC1-F4W2-60YS-00000-00&amp;context=1530671" TargetMode="External" /><Relationship Id="rId120" Type="http://schemas.openxmlformats.org/officeDocument/2006/relationships/hyperlink" Target="https://plus.lexis.com/api/document?collection=cases&amp;id=urn:contentItem:5B17-3GT1-DY1P-S10D-00000-00&amp;context=1530671" TargetMode="External" /><Relationship Id="rId121" Type="http://schemas.openxmlformats.org/officeDocument/2006/relationships/hyperlink" Target="https://plus.lexis.com/api/document?collection=cases&amp;id=urn:contentItem:5B17-3GT1-DY1P-S10D-00000-00&amp;context=1530671" TargetMode="External" /><Relationship Id="rId122" Type="http://schemas.openxmlformats.org/officeDocument/2006/relationships/hyperlink" Target="https://plus.lexis.com/api/document?collection=statutes-legislation&amp;id=urn:contentItem:6348-FS71-DYB7-W4KK-00000-00&amp;context=1530671" TargetMode="External" /><Relationship Id="rId123" Type="http://schemas.openxmlformats.org/officeDocument/2006/relationships/hyperlink" Target="https://plus.lexis.com/api/document?collection=statutes-legislation&amp;id=urn:contentItem:6348-FS71-DYB7-W4KK-00000-00&amp;context=1530671" TargetMode="External" /><Relationship Id="rId124" Type="http://schemas.openxmlformats.org/officeDocument/2006/relationships/hyperlink" Target="https://plus.lexis.com/api/document?collection=cases&amp;id=urn:contentItem:6B90-MRY3-RTPH-N1GK-00000-00&amp;context=1530671" TargetMode="External" /><Relationship Id="rId125" Type="http://schemas.openxmlformats.org/officeDocument/2006/relationships/hyperlink" Target="https://plus.lexis.com/api/document?collection=cases&amp;id=urn:contentItem:6B90-MRY3-RTPH-N1GK-00000-00&amp;context=1530671" TargetMode="External" /><Relationship Id="rId126" Type="http://schemas.openxmlformats.org/officeDocument/2006/relationships/hyperlink" Target="https://plus.lexis.com/api/document?collection=cases&amp;id=urn:contentItem:4CDC-75K0-0039-4207-00000-00&amp;context=1530671" TargetMode="External" /><Relationship Id="rId127" Type="http://schemas.openxmlformats.org/officeDocument/2006/relationships/hyperlink" Target="https://plus.lexis.com/api/document?collection=cases&amp;id=urn:contentItem:4CDC-75K0-0039-4207-00000-00&amp;context=1530671" TargetMode="External" /><Relationship Id="rId128" Type="http://schemas.openxmlformats.org/officeDocument/2006/relationships/hyperlink" Target="https://plus.lexis.com/api/document?collection=statutes-legislation&amp;id=urn:contentItem:6348-FS71-DYB7-W4KK-00000-00&amp;context=1530671" TargetMode="External" /><Relationship Id="rId129" Type="http://schemas.openxmlformats.org/officeDocument/2006/relationships/hyperlink" Target="https://plus.lexis.com/api/document?collection=cases&amp;id=urn:contentItem:5PKD-8GJ1-F04F-T1FR-00000-00&amp;context=1530671" TargetMode="External" /><Relationship Id="rId13" Type="http://schemas.openxmlformats.org/officeDocument/2006/relationships/hyperlink" Target="https://plus.lexis.com/api/document?collection=cases&amp;id=urn:contentItem:5VKC-3RC1-F4W2-60YS-00000-00&amp;context=1530671" TargetMode="External" /><Relationship Id="rId130" Type="http://schemas.openxmlformats.org/officeDocument/2006/relationships/hyperlink" Target="https://plus.lexis.com/api/document?collection=cases&amp;id=urn:contentItem:5PKD-8GJ1-F04F-T1FR-00000-00&amp;context=1530671" TargetMode="External" /><Relationship Id="rId131" Type="http://schemas.openxmlformats.org/officeDocument/2006/relationships/hyperlink" Target="https://plus.lexis.com/api/document?collection=statutes-legislation&amp;id=urn:contentItem:6348-FS71-DYB7-W4KK-00000-00&amp;context=1530671" TargetMode="External" /><Relationship Id="rId132" Type="http://schemas.openxmlformats.org/officeDocument/2006/relationships/hyperlink" Target="https://plus.lexis.com/api/document?collection=statutes-legislation&amp;id=urn:contentItem:6348-FS71-DYB7-W4KK-00000-00&amp;context=1530671" TargetMode="External" /><Relationship Id="rId133" Type="http://schemas.openxmlformats.org/officeDocument/2006/relationships/hyperlink" Target="https://plus.lexis.com/api/document?collection=cases&amp;id=urn:contentItem:5JDJ-7W01-F04F-T0K4-00000-00&amp;context=1530671" TargetMode="External" /><Relationship Id="rId134" Type="http://schemas.openxmlformats.org/officeDocument/2006/relationships/hyperlink" Target="https://plus.lexis.com/api/document?collection=cases&amp;id=urn:contentItem:5JDJ-7W01-F04F-T0K4-00000-00&amp;context=1530671" TargetMode="External" /><Relationship Id="rId135" Type="http://schemas.openxmlformats.org/officeDocument/2006/relationships/theme" Target="theme/theme1.xml" /><Relationship Id="rId136" Type="http://schemas.openxmlformats.org/officeDocument/2006/relationships/styles" Target="styles.xml" /><Relationship Id="rId14" Type="http://schemas.openxmlformats.org/officeDocument/2006/relationships/hyperlink" Target="https://plus.lexis.com/api/document?collection=cases&amp;id=urn:contentItem:5VKC-3RC1-F4W2-60YS-00000-00&amp;context=1530671" TargetMode="External" /><Relationship Id="rId15" Type="http://schemas.openxmlformats.org/officeDocument/2006/relationships/hyperlink" Target="https://plus.lexis.com/api/document?collection=cases&amp;id=urn:contentItem:616J-7S71-JSJC-X2VV-00000-00&amp;context=1530671" TargetMode="External" /><Relationship Id="rId16" Type="http://schemas.openxmlformats.org/officeDocument/2006/relationships/hyperlink" Target="https://plus.lexis.com/api/document?collection=cases&amp;id=urn:contentItem:616J-7S71-JSJC-X2VV-00000-00&amp;context=1530671" TargetMode="External" /><Relationship Id="rId17" Type="http://schemas.openxmlformats.org/officeDocument/2006/relationships/hyperlink" Target="https://plus.lexis.com/api/document?collection=statutes-legislation&amp;id=urn:contentItem:6348-G111-DYB7-W432-00000-00&amp;context=1530671" TargetMode="External" /><Relationship Id="rId18" Type="http://schemas.openxmlformats.org/officeDocument/2006/relationships/hyperlink" Target="https://plus.lexis.com/api/document?collection=statutes-legislation&amp;id=urn:contentItem:6348-FS71-DYB7-W455-00000-00&amp;context=1530671" TargetMode="External" /><Relationship Id="rId19" Type="http://schemas.openxmlformats.org/officeDocument/2006/relationships/hyperlink" Target="https://plus.lexis.com/api/document?collection=statutes-legislation&amp;id=urn:contentItem:6348-FS71-DYB7-W455-00000-00&amp;context=1530671" TargetMode="External" /><Relationship Id="rId2" Type="http://schemas.openxmlformats.org/officeDocument/2006/relationships/settings" Target="settings.xml" /><Relationship Id="rId20" Type="http://schemas.openxmlformats.org/officeDocument/2006/relationships/hyperlink" Target="https://plus.lexis.com/api/document?collection=cases&amp;id=urn:contentItem:3SG2-MGF0-003G-P32V-00000-00&amp;context=1530671" TargetMode="External" /><Relationship Id="rId21" Type="http://schemas.openxmlformats.org/officeDocument/2006/relationships/hyperlink" Target="https://plus.lexis.com/api/document?collection=cases&amp;id=urn:contentItem:3SG2-MGF0-003G-P32V-00000-00&amp;context=1530671" TargetMode="External" /><Relationship Id="rId22" Type="http://schemas.openxmlformats.org/officeDocument/2006/relationships/hyperlink" Target="https://plus.lexis.com/api/document?collection=statutes-legislation&amp;id=urn:contentItem:6348-G111-DYB7-W431-00000-00&amp;context=1530671" TargetMode="External" /><Relationship Id="rId23" Type="http://schemas.openxmlformats.org/officeDocument/2006/relationships/hyperlink" Target="https://plus.lexis.com/api/document?collection=statutes-legislation&amp;id=urn:contentItem:6348-G111-DYB7-W435-00000-00&amp;context=1530671" TargetMode="External" /><Relationship Id="rId24" Type="http://schemas.openxmlformats.org/officeDocument/2006/relationships/hyperlink" Target="https://plus.lexis.com/api/document?collection=statutes-legislation&amp;id=urn:contentItem:6348-FS71-DYB7-W455-00000-00&amp;context=1530671" TargetMode="External" /><Relationship Id="rId25" Type="http://schemas.openxmlformats.org/officeDocument/2006/relationships/hyperlink" Target="https://plus.lexis.com/api/document?collection=statutes-legislation&amp;id=urn:contentItem:6348-FS71-DYB7-W4KK-00000-00&amp;context=1530671" TargetMode="External" /><Relationship Id="rId26" Type="http://schemas.openxmlformats.org/officeDocument/2006/relationships/hyperlink" Target="https://plus.lexis.com/api/document?collection=statutes-legislation&amp;id=urn:contentItem:6348-FS71-DYB7-W4KK-00000-00&amp;context=1530671" TargetMode="External" /><Relationship Id="rId27" Type="http://schemas.openxmlformats.org/officeDocument/2006/relationships/hyperlink" Target="https://plus.lexis.com/api/document?collection=statutes-legislation&amp;id=urn:contentItem:6348-FS71-DYB7-W4KK-00000-00&amp;context=1530671" TargetMode="External" /><Relationship Id="rId28" Type="http://schemas.openxmlformats.org/officeDocument/2006/relationships/hyperlink" Target="https://plus.lexis.com/api/document?collection=cases&amp;id=urn:contentItem:41P0-P790-0039-4312-00000-00&amp;context=1530671" TargetMode="External" /><Relationship Id="rId29" Type="http://schemas.openxmlformats.org/officeDocument/2006/relationships/hyperlink" Target="https://plus.lexis.com/api/document?collection=cases&amp;id=urn:contentItem:41P0-P790-0039-4312-00000-00&amp;context=1530671" TargetMode="External" /><Relationship Id="rId3" Type="http://schemas.openxmlformats.org/officeDocument/2006/relationships/webSettings" Target="webSettings.xml" /><Relationship Id="rId30" Type="http://schemas.openxmlformats.org/officeDocument/2006/relationships/hyperlink" Target="https://plus.lexis.com/api/document?collection=cases&amp;id=urn:contentItem:6C9B-M1D3-RVK0-B48B-00000-00&amp;context=1530671" TargetMode="External" /><Relationship Id="rId31" Type="http://schemas.openxmlformats.org/officeDocument/2006/relationships/hyperlink" Target="https://plus.lexis.com/api/document?collection=cases&amp;id=urn:contentItem:6C9B-M1D3-RVK0-B48B-00000-00&amp;context=1530671" TargetMode="External" /><Relationship Id="rId32" Type="http://schemas.openxmlformats.org/officeDocument/2006/relationships/hyperlink" Target="https://plus.lexis.com/api/document?collection=statutes-legislation&amp;id=urn:contentItem:6348-FS71-DYB7-W455-00000-00&amp;context=1530671" TargetMode="External" /><Relationship Id="rId33" Type="http://schemas.openxmlformats.org/officeDocument/2006/relationships/hyperlink" Target="https://plus.lexis.com/api/document?collection=statutes-legislation&amp;id=urn:contentItem:6348-FS71-DYB7-W4KK-00000-00&amp;context=1530671" TargetMode="External" /><Relationship Id="rId34" Type="http://schemas.openxmlformats.org/officeDocument/2006/relationships/hyperlink" Target="https://plus.lexis.com/api/document?collection=statutes-legislation&amp;id=urn:contentItem:6348-FS71-DYB7-W455-00000-00&amp;context=1530671" TargetMode="External" /><Relationship Id="rId35" Type="http://schemas.openxmlformats.org/officeDocument/2006/relationships/hyperlink" Target="https://plus.lexis.com/api/document?collection=statutes-legislation&amp;id=urn:contentItem:6348-FS71-DYB7-W455-00000-00&amp;context=1530671" TargetMode="External" /><Relationship Id="rId36" Type="http://schemas.openxmlformats.org/officeDocument/2006/relationships/hyperlink" Target="https://plus.lexis.com/api/document?collection=statutes-legislation&amp;id=urn:contentItem:6348-FS71-DYB7-W455-00000-00&amp;context=1530671" TargetMode="External" /><Relationship Id="rId37" Type="http://schemas.openxmlformats.org/officeDocument/2006/relationships/hyperlink" Target="https://plus.lexis.com/api/document?collection=statutes-legislation&amp;id=urn:contentItem:6348-FS71-DYB7-W455-00000-00&amp;context=1530671" TargetMode="External" /><Relationship Id="rId38" Type="http://schemas.openxmlformats.org/officeDocument/2006/relationships/hyperlink" Target="https://plus.lexis.com/api/document?collection=cases&amp;id=urn:contentItem:6G4N-SBN3-RRHR-P35F-00000-00&amp;context=1530671" TargetMode="External" /><Relationship Id="rId39" Type="http://schemas.openxmlformats.org/officeDocument/2006/relationships/hyperlink" Target="https://plus.lexis.com/api/document?collection=cases&amp;id=urn:contentItem:6G4N-SBN3-RRHR-P35F-00000-00&amp;context=1530671" TargetMode="External" /><Relationship Id="rId4" Type="http://schemas.openxmlformats.org/officeDocument/2006/relationships/fontTable" Target="fontTable.xml" /><Relationship Id="rId40" Type="http://schemas.openxmlformats.org/officeDocument/2006/relationships/hyperlink" Target="https://plus.lexis.com/api/document?collection=cases&amp;id=urn:contentItem:5WDJ-JGS1-F1WF-M166-00000-00&amp;context=1530671" TargetMode="External" /><Relationship Id="rId41" Type="http://schemas.openxmlformats.org/officeDocument/2006/relationships/hyperlink" Target="https://plus.lexis.com/api/document?collection=cases&amp;id=urn:contentItem:5WDJ-JGS1-F1WF-M166-00000-00&amp;context=1530671" TargetMode="External" /><Relationship Id="rId42" Type="http://schemas.openxmlformats.org/officeDocument/2006/relationships/hyperlink" Target="https://plus.lexis.com/api/document?collection=statutes-legislation&amp;id=urn:contentItem:6348-FS71-DYB7-W455-00000-00&amp;context=1530671" TargetMode="External" /><Relationship Id="rId43" Type="http://schemas.openxmlformats.org/officeDocument/2006/relationships/hyperlink" Target="https://plus.lexis.com/api/document?collection=statutes-legislation&amp;id=urn:contentItem:6348-FS71-DYB7-W455-00000-00&amp;context=1530671" TargetMode="External" /><Relationship Id="rId44" Type="http://schemas.openxmlformats.org/officeDocument/2006/relationships/hyperlink" Target="https://plus.lexis.com/api/document?collection=cases&amp;id=urn:contentItem:5N3M-R491-F04F-T047-00000-00&amp;context=1530671" TargetMode="External" /><Relationship Id="rId45" Type="http://schemas.openxmlformats.org/officeDocument/2006/relationships/hyperlink" Target="https://plus.lexis.com/api/document?collection=cases&amp;id=urn:contentItem:5N3M-R491-F04F-T047-00000-00&amp;context=1530671" TargetMode="External" /><Relationship Id="rId46" Type="http://schemas.openxmlformats.org/officeDocument/2006/relationships/hyperlink" Target="https://plus.lexis.com/api/document?collection=statutes-legislation&amp;id=urn:contentItem:6348-FS71-DYB7-W455-00000-00&amp;context=1530671" TargetMode="External" /><Relationship Id="rId47" Type="http://schemas.openxmlformats.org/officeDocument/2006/relationships/hyperlink" Target="https://plus.lexis.com/api/document?collection=cases&amp;id=urn:contentItem:6BYR-XPY3-RX0W-V17B-00000-00&amp;context=1530671" TargetMode="External" /><Relationship Id="rId48" Type="http://schemas.openxmlformats.org/officeDocument/2006/relationships/hyperlink" Target="https://plus.lexis.com/api/document?collection=cases&amp;id=urn:contentItem:6BYR-XPY3-RX0W-V17B-00000-00&amp;context=1530671" TargetMode="External" /><Relationship Id="rId49" Type="http://schemas.openxmlformats.org/officeDocument/2006/relationships/hyperlink" Target="https://plus.lexis.com/api/document?collection=statutes-legislation&amp;id=urn:contentItem:6348-FS71-DYB7-W455-00000-00&amp;context=1530671" TargetMode="External" /><Relationship Id="rId5" Type="http://schemas.openxmlformats.org/officeDocument/2006/relationships/header" Target="header1.xml" /><Relationship Id="rId50" Type="http://schemas.openxmlformats.org/officeDocument/2006/relationships/hyperlink" Target="https://plus.lexis.com/api/document?collection=statutes-legislation&amp;id=urn:contentItem:6348-FS71-DYB7-W455-00000-00&amp;context=1530671" TargetMode="External" /><Relationship Id="rId51" Type="http://schemas.openxmlformats.org/officeDocument/2006/relationships/hyperlink" Target="https://plus.lexis.com/api/document?collection=cases&amp;id=urn:contentItem:5WDJ-JGS1-F1WF-M166-00000-00&amp;context=1530671" TargetMode="External" /><Relationship Id="rId52" Type="http://schemas.openxmlformats.org/officeDocument/2006/relationships/hyperlink" Target="https://plus.lexis.com/api/document?collection=cases&amp;id=urn:contentItem:5WDJ-JGS1-F1WF-M166-00000-00&amp;context=1530671" TargetMode="External" /><Relationship Id="rId53" Type="http://schemas.openxmlformats.org/officeDocument/2006/relationships/hyperlink" Target="https://plus.lexis.com/api/document?collection=cases&amp;id=urn:contentItem:6F43-V0C3-RSHH-G39G-00000-00&amp;context=1530671" TargetMode="External" /><Relationship Id="rId54" Type="http://schemas.openxmlformats.org/officeDocument/2006/relationships/hyperlink" Target="https://plus.lexis.com/api/document?collection=cases&amp;id=urn:contentItem:6F43-V0C3-RSHH-G39G-00000-00&amp;context=1530671" TargetMode="External" /><Relationship Id="rId55" Type="http://schemas.openxmlformats.org/officeDocument/2006/relationships/hyperlink" Target="https://plus.lexis.com/api/document?collection=statutes-legislation&amp;id=urn:contentItem:6348-FS71-DYB7-W455-00000-00&amp;context=1530671" TargetMode="External" /><Relationship Id="rId56" Type="http://schemas.openxmlformats.org/officeDocument/2006/relationships/hyperlink" Target="https://plus.lexis.com/api/document?collection=statutes-legislation&amp;id=urn:contentItem:6CWJ-10C3-RSCB-M3DW-00000-00&amp;context=1530671" TargetMode="External" /><Relationship Id="rId57" Type="http://schemas.openxmlformats.org/officeDocument/2006/relationships/hyperlink" Target="https://plus.lexis.com/api/document?collection=statutes-legislation&amp;id=urn:contentItem:6348-FS71-DYB7-W455-00000-00&amp;context=1530671" TargetMode="External" /><Relationship Id="rId58" Type="http://schemas.openxmlformats.org/officeDocument/2006/relationships/hyperlink" Target="https://plus.lexis.com/api/document?collection=cases&amp;id=urn:contentItem:5B99-RBT1-F04B-N37R-00000-00&amp;context=1530671" TargetMode="External" /><Relationship Id="rId59" Type="http://schemas.openxmlformats.org/officeDocument/2006/relationships/hyperlink" Target="https://plus.lexis.com/api/document?collection=cases&amp;id=urn:contentItem:5B99-RBT1-F04B-N37R-00000-00&amp;context=1530671" TargetMode="External" /><Relationship Id="rId6" Type="http://schemas.openxmlformats.org/officeDocument/2006/relationships/footer" Target="footer1.xml" /><Relationship Id="rId60" Type="http://schemas.openxmlformats.org/officeDocument/2006/relationships/hyperlink" Target="https://plus.lexis.com/api/document?collection=cases&amp;id=urn:contentItem:5N3M-R491-F04F-T047-00000-00&amp;context=1530671" TargetMode="External" /><Relationship Id="rId61" Type="http://schemas.openxmlformats.org/officeDocument/2006/relationships/hyperlink" Target="https://plus.lexis.com/api/document?collection=cases&amp;id=urn:contentItem:5N3M-R491-F04F-T047-00000-00&amp;context=1530671" TargetMode="External" /><Relationship Id="rId62" Type="http://schemas.openxmlformats.org/officeDocument/2006/relationships/hyperlink" Target="https://plus.lexis.com/api/document?collection=statutes-legislation&amp;id=urn:contentItem:6348-FS71-DYB7-W455-00000-00&amp;context=1530671" TargetMode="External" /><Relationship Id="rId63" Type="http://schemas.openxmlformats.org/officeDocument/2006/relationships/hyperlink" Target="https://plus.lexis.com/api/document?collection=cases&amp;id=urn:contentItem:3VNW-X4X0-0039-41H3-00000-00&amp;context=1530671" TargetMode="External" /><Relationship Id="rId64" Type="http://schemas.openxmlformats.org/officeDocument/2006/relationships/hyperlink" Target="https://plus.lexis.com/api/document?collection=cases&amp;id=urn:contentItem:3VNW-X4X0-0039-41H3-00000-00&amp;context=1530671" TargetMode="External" /><Relationship Id="rId65" Type="http://schemas.openxmlformats.org/officeDocument/2006/relationships/hyperlink" Target="https://plus.lexis.com/api/document?collection=cases&amp;id=urn:contentItem:6F43-V0C3-RSHH-G39G-00000-00&amp;context=1530671" TargetMode="External" /><Relationship Id="rId66" Type="http://schemas.openxmlformats.org/officeDocument/2006/relationships/hyperlink" Target="https://plus.lexis.com/api/document?collection=cases&amp;id=urn:contentItem:6F43-V0C3-RSHH-G39G-00000-00&amp;context=1530671" TargetMode="External" /><Relationship Id="rId67" Type="http://schemas.openxmlformats.org/officeDocument/2006/relationships/hyperlink" Target="https://plus.lexis.com/api/document?collection=statutes-legislation&amp;id=urn:contentItem:6348-FS71-DYB7-W455-00000-00&amp;context=1530671" TargetMode="External" /><Relationship Id="rId68" Type="http://schemas.openxmlformats.org/officeDocument/2006/relationships/hyperlink" Target="https://plus.lexis.com/api/document?collection=statutes-legislation&amp;id=urn:contentItem:6348-FS71-DYB7-W455-00000-00&amp;context=1530671" TargetMode="External" /><Relationship Id="rId69" Type="http://schemas.openxmlformats.org/officeDocument/2006/relationships/hyperlink" Target="https://plus.lexis.com/api/document?collection=cases&amp;id=urn:contentItem:4S5B-VNN0-TXFS-C385-00000-00&amp;context=1530671" TargetMode="External" /><Relationship Id="rId7" Type="http://schemas.openxmlformats.org/officeDocument/2006/relationships/footer" Target="footer2.xml" /><Relationship Id="rId70" Type="http://schemas.openxmlformats.org/officeDocument/2006/relationships/hyperlink" Target="https://plus.lexis.com/api/document?collection=cases&amp;id=urn:contentItem:4S5B-VNN0-TXFS-C385-00000-00&amp;context=1530671" TargetMode="External" /><Relationship Id="rId71" Type="http://schemas.openxmlformats.org/officeDocument/2006/relationships/hyperlink" Target="https://plus.lexis.com/api/document?collection=statutes-legislation&amp;id=urn:contentItem:6348-FS71-DYB7-W455-00000-00&amp;context=1530671" TargetMode="External" /><Relationship Id="rId72" Type="http://schemas.openxmlformats.org/officeDocument/2006/relationships/hyperlink" Target="https://plus.lexis.com/api/document?collection=cases&amp;id=urn:contentItem:64VY-DTM1-FJM6-60DW-00000-00&amp;context=1530671" TargetMode="External" /><Relationship Id="rId73" Type="http://schemas.openxmlformats.org/officeDocument/2006/relationships/hyperlink" Target="https://plus.lexis.com/api/document?collection=cases&amp;id=urn:contentItem:64VY-DTM1-FJM6-60DW-00000-00&amp;context=1530671" TargetMode="External" /><Relationship Id="rId74" Type="http://schemas.openxmlformats.org/officeDocument/2006/relationships/hyperlink" Target="https://plus.lexis.com/api/document?collection=cases&amp;id=urn:contentItem:5S01-8DY1-F04B-N00G-00000-00&amp;context=1530671" TargetMode="External" /><Relationship Id="rId75" Type="http://schemas.openxmlformats.org/officeDocument/2006/relationships/hyperlink" Target="https://plus.lexis.com/api/document?collection=cases&amp;id=urn:contentItem:5S01-8DY1-F04B-N00G-00000-00&amp;context=1530671" TargetMode="External" /><Relationship Id="rId76" Type="http://schemas.openxmlformats.org/officeDocument/2006/relationships/hyperlink" Target="https://plus.lexis.com/api/document?collection=cases&amp;id=urn:contentItem:5S01-8DY1-F04B-N00G-00000-00&amp;context=1530671" TargetMode="External" /><Relationship Id="rId77" Type="http://schemas.openxmlformats.org/officeDocument/2006/relationships/hyperlink" Target="https://plus.lexis.com/api/document?collection=cases&amp;id=urn:contentItem:5S01-8DY1-F04B-N00G-00000-00&amp;context=1530671" TargetMode="External" /><Relationship Id="rId78" Type="http://schemas.openxmlformats.org/officeDocument/2006/relationships/hyperlink" Target="https://plus.lexis.com/api/document?collection=cases&amp;id=urn:contentItem:6B90-MRY3-RTPH-N1GK-00000-00&amp;context=1530671" TargetMode="External" /><Relationship Id="rId79" Type="http://schemas.openxmlformats.org/officeDocument/2006/relationships/hyperlink" Target="https://plus.lexis.com/api/document?collection=cases&amp;id=urn:contentItem:6B90-MRY3-RTPH-N1GK-00000-00&amp;context=1530671" TargetMode="External" /><Relationship Id="rId8" Type="http://schemas.openxmlformats.org/officeDocument/2006/relationships/hyperlink" Target="https://plus.lexis.com/api/document?collection=cases&amp;id=urn:contentItem:6H2X-5JJ3-RVKC-X2JV-00000-00&amp;context=1530671" TargetMode="External" /><Relationship Id="rId80" Type="http://schemas.openxmlformats.org/officeDocument/2006/relationships/hyperlink" Target="https://plus.lexis.com/api/document?collection=statutes-legislation&amp;id=urn:contentItem:6348-FS71-DYB7-W455-00000-00&amp;context=1530671" TargetMode="External" /><Relationship Id="rId81" Type="http://schemas.openxmlformats.org/officeDocument/2006/relationships/hyperlink" Target="https://plus.lexis.com/api/document?collection=statutes-legislation&amp;id=urn:contentItem:6348-FS71-DYB7-W4KK-00000-00&amp;context=1530671" TargetMode="External" /><Relationship Id="rId82" Type="http://schemas.openxmlformats.org/officeDocument/2006/relationships/hyperlink" Target="https://plus.lexis.com/api/document?collection=statutes-legislation&amp;id=urn:contentItem:6348-FS71-DYB7-W4KK-00000-00&amp;context=1530671" TargetMode="External" /><Relationship Id="rId83" Type="http://schemas.openxmlformats.org/officeDocument/2006/relationships/hyperlink" Target="https://plus.lexis.com/api/document?collection=statutes-legislation&amp;id=urn:contentItem:6348-FS71-DYB7-W4KK-00000-00&amp;context=1530671" TargetMode="External" /><Relationship Id="rId84" Type="http://schemas.openxmlformats.org/officeDocument/2006/relationships/hyperlink" Target="https://plus.lexis.com/api/document?collection=cases&amp;id=urn:contentItem:613T-SGJ1-JB7K-21YP-00000-00&amp;context=1530671" TargetMode="External" /><Relationship Id="rId85" Type="http://schemas.openxmlformats.org/officeDocument/2006/relationships/hyperlink" Target="https://plus.lexis.com/api/document?collection=cases&amp;id=urn:contentItem:613T-SGJ1-JB7K-21YP-00000-00&amp;context=1530671" TargetMode="External" /><Relationship Id="rId86" Type="http://schemas.openxmlformats.org/officeDocument/2006/relationships/hyperlink" Target="https://plus.lexis.com/api/document?collection=cases&amp;id=urn:contentItem:536T-34V1-F04F-T109-00000-00&amp;context=1530671" TargetMode="External" /><Relationship Id="rId87" Type="http://schemas.openxmlformats.org/officeDocument/2006/relationships/hyperlink" Target="https://plus.lexis.com/api/document?collection=cases&amp;id=urn:contentItem:536T-34V1-F04F-T109-00000-00&amp;context=1530671" TargetMode="External" /><Relationship Id="rId88" Type="http://schemas.openxmlformats.org/officeDocument/2006/relationships/hyperlink" Target="https://plus.lexis.com/api/document?collection=cases&amp;id=urn:contentItem:52PW-H4T1-F04F-V058-00000-00&amp;context=1530671" TargetMode="External" /><Relationship Id="rId89" Type="http://schemas.openxmlformats.org/officeDocument/2006/relationships/hyperlink" Target="https://plus.lexis.com/api/document?collection=cases&amp;id=urn:contentItem:52PW-H4T1-F04F-V058-00000-00&amp;context=1530671" TargetMode="External" /><Relationship Id="rId9" Type="http://schemas.openxmlformats.org/officeDocument/2006/relationships/hyperlink" Target="https://plus.lexis.com/api/document?collection=cases&amp;id=urn:contentItem:5VKC-3RC1-F4W2-60YS-00000-00&amp;context=1530671" TargetMode="External" /><Relationship Id="rId90" Type="http://schemas.openxmlformats.org/officeDocument/2006/relationships/hyperlink" Target="https://plus.lexis.com/api/document?collection=cases&amp;id=urn:contentItem:6F7Y-98H3-RTCR-N0PH-00000-00&amp;context=1530671" TargetMode="External" /><Relationship Id="rId91" Type="http://schemas.openxmlformats.org/officeDocument/2006/relationships/hyperlink" Target="https://plus.lexis.com/api/document?collection=cases&amp;id=urn:contentItem:6F7Y-98H3-RTCR-N0PH-00000-00&amp;context=1530671" TargetMode="External" /><Relationship Id="rId92" Type="http://schemas.openxmlformats.org/officeDocument/2006/relationships/hyperlink" Target="https://plus.lexis.com/api/document?collection=statutes-legislation&amp;id=urn:contentItem:6348-FS71-DYB7-W4KK-00000-00&amp;context=1530671" TargetMode="External" /><Relationship Id="rId93" Type="http://schemas.openxmlformats.org/officeDocument/2006/relationships/hyperlink" Target="https://plus.lexis.com/api/document?collection=cases&amp;id=urn:contentItem:55CS-DCM1-F04F-T01C-00000-00&amp;context=1530671" TargetMode="External" /><Relationship Id="rId94" Type="http://schemas.openxmlformats.org/officeDocument/2006/relationships/hyperlink" Target="https://plus.lexis.com/api/document?collection=cases&amp;id=urn:contentItem:55CS-DCM1-F04F-T01C-00000-00&amp;context=1530671" TargetMode="External" /><Relationship Id="rId95" Type="http://schemas.openxmlformats.org/officeDocument/2006/relationships/hyperlink" Target="https://plus.lexis.com/api/document?collection=cases&amp;id=urn:contentItem:6B2T-GTM3-RTKP-C152-00000-00&amp;context=1530671" TargetMode="External" /><Relationship Id="rId96" Type="http://schemas.openxmlformats.org/officeDocument/2006/relationships/hyperlink" Target="https://plus.lexis.com/api/document?collection=cases&amp;id=urn:contentItem:6B2T-GTM3-RTKP-C152-00000-00&amp;context=1530671" TargetMode="External" /><Relationship Id="rId97" Type="http://schemas.openxmlformats.org/officeDocument/2006/relationships/hyperlink" Target="https://plus.lexis.com/api/document?collection=cases&amp;id=urn:contentItem:4JFH-X980-0039-42TJ-00000-00&amp;context=1530671" TargetMode="External" /><Relationship Id="rId98" Type="http://schemas.openxmlformats.org/officeDocument/2006/relationships/hyperlink" Target="https://plus.lexis.com/api/document?collection=cases&amp;id=urn:contentItem:4JFH-X980-0039-42TJ-00000-00&amp;context=1530671" TargetMode="External" /><Relationship Id="rId99" Type="http://schemas.openxmlformats.org/officeDocument/2006/relationships/hyperlink" Target="https://plus.lexis.com/api/document?collection=statutes-legislation&amp;id=urn:contentItem:6348-FS71-DYB7-W4KK-00000-00&amp;context=1530671"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plus.lexis.com/api/document?collection=statutes-legislation&amp;id=urn:contentItem:6348-FS71-DYB7-W455-00000-00&amp;context=1530671" TargetMode="External" /><Relationship Id="rId10" Type="http://schemas.openxmlformats.org/officeDocument/2006/relationships/hyperlink" Target="https://plus.lexis.com/api/document?collection=cases&amp;id=urn:contentItem:3TF2-KF00-0039-427T-00000-00&amp;context=1530671" TargetMode="External" /><Relationship Id="rId11" Type="http://schemas.openxmlformats.org/officeDocument/2006/relationships/hyperlink" Target="https://plus.lexis.com/api/document?collection=cases&amp;id=urn:contentItem:64HF-F031-F7G6-64M1-00000-00&amp;context=1530671" TargetMode="External" /><Relationship Id="rId12" Type="http://schemas.openxmlformats.org/officeDocument/2006/relationships/hyperlink" Target="https://plus.lexis.com/api/document?collection=cases&amp;id=urn:contentItem:64HF-F031-F7G6-64M1-00000-00&amp;context=1530671" TargetMode="External" /><Relationship Id="rId13" Type="http://schemas.openxmlformats.org/officeDocument/2006/relationships/hyperlink" Target="https://plus.lexis.com/api/document?collection=statutes-legislation&amp;id=urn:contentItem:6348-FS71-DYB7-W455-00000-00&amp;context=1530671" TargetMode="External" /><Relationship Id="rId14" Type="http://schemas.openxmlformats.org/officeDocument/2006/relationships/hyperlink" Target="https://plus.lexis.com/api/document?collection=cases&amp;id=urn:contentItem:6F9F-1843-RRX3-618P-00000-00&amp;context=1530671" TargetMode="External" /><Relationship Id="rId15" Type="http://schemas.openxmlformats.org/officeDocument/2006/relationships/hyperlink" Target="https://plus.lexis.com/api/document?collection=cases&amp;id=urn:contentItem:6F9F-1843-RRX3-618P-00000-00&amp;context=1530671" TargetMode="External" /><Relationship Id="rId16" Type="http://schemas.openxmlformats.org/officeDocument/2006/relationships/hyperlink" Target="https://plus.lexis.com/api/document?collection=cases&amp;id=urn:contentItem:3RX8-9J30-003G-P1DS-00000-00&amp;context=1530671" TargetMode="External" /><Relationship Id="rId17" Type="http://schemas.openxmlformats.org/officeDocument/2006/relationships/hyperlink" Target="https://plus.lexis.com/api/document?collection=cases&amp;id=urn:contentItem:3RX8-9J30-003G-P1DS-00000-00&amp;context=1530671" TargetMode="External" /><Relationship Id="rId18" Type="http://schemas.openxmlformats.org/officeDocument/2006/relationships/hyperlink" Target="https://plus.lexis.com/api/document?collection=cases&amp;id=urn:contentItem:461T-W820-0039-421X-00000-00&amp;context=1530671" TargetMode="External" /><Relationship Id="rId19" Type="http://schemas.openxmlformats.org/officeDocument/2006/relationships/hyperlink" Target="https://plus.lexis.com/api/document?collection=cases&amp;id=urn:contentItem:461T-W820-0039-421X-00000-00&amp;context=1530671" TargetMode="External" /><Relationship Id="rId2" Type="http://schemas.openxmlformats.org/officeDocument/2006/relationships/hyperlink" Target="https://plus.lexis.com/api/document?collection=cases&amp;id=urn:contentItem:3SG2-MGF0-003G-P32V-00000-00&amp;context=1530671" TargetMode="External" /><Relationship Id="rId20" Type="http://schemas.openxmlformats.org/officeDocument/2006/relationships/hyperlink" Target="https://plus.lexis.com/api/document?collection=cases&amp;id=urn:contentItem:3RX7-S870-003G-P110-00000-00&amp;context=1530671" TargetMode="External" /><Relationship Id="rId21" Type="http://schemas.openxmlformats.org/officeDocument/2006/relationships/hyperlink" Target="https://plus.lexis.com/api/document?collection=cases&amp;id=urn:contentItem:3RX7-S870-003G-P110-00000-00&amp;context=1530671" TargetMode="External" /><Relationship Id="rId22" Type="http://schemas.openxmlformats.org/officeDocument/2006/relationships/hyperlink" Target="https://plus.lexis.com/api/document?collection=statutes-legislation&amp;id=urn:contentItem:6348-FVW1-DYB7-W4J6-00000-00&amp;context=1530671" TargetMode="External" /><Relationship Id="rId23" Type="http://schemas.openxmlformats.org/officeDocument/2006/relationships/hyperlink" Target="https://plus.lexis.com/api/document?collection=cases&amp;id=urn:contentItem:3TF2-KF00-0039-427T-00000-00&amp;context=1530671" TargetMode="External" /><Relationship Id="rId24" Type="http://schemas.openxmlformats.org/officeDocument/2006/relationships/hyperlink" Target="https://plus.lexis.com/api/document?collection=cases&amp;id=urn:contentItem:3TF2-KF00-0039-427T-00000-00&amp;context=1530671" TargetMode="External" /><Relationship Id="rId25" Type="http://schemas.openxmlformats.org/officeDocument/2006/relationships/hyperlink" Target="https://plus.lexis.com/api/document?collection=cases&amp;id=urn:contentItem:3RX8-9G40-003G-P0B8-00000-00&amp;context=1530671" TargetMode="External" /><Relationship Id="rId26" Type="http://schemas.openxmlformats.org/officeDocument/2006/relationships/hyperlink" Target="https://plus.lexis.com/api/document?collection=cases&amp;id=urn:contentItem:3RX8-9G40-003G-P0B8-00000-00&amp;context=1530671" TargetMode="External" /><Relationship Id="rId27" Type="http://schemas.openxmlformats.org/officeDocument/2006/relationships/hyperlink" Target="https://plus.lexis.com/api/document?collection=cases&amp;id=urn:contentItem:3RX8-B3R0-003G-P3D9-00000-00&amp;context=1530671" TargetMode="External" /><Relationship Id="rId28" Type="http://schemas.openxmlformats.org/officeDocument/2006/relationships/hyperlink" Target="https://plus.lexis.com/api/document?collection=cases&amp;id=urn:contentItem:3RX8-B3R0-003G-P3D9-00000-00&amp;context=1530671" TargetMode="External" /><Relationship Id="rId29" Type="http://schemas.openxmlformats.org/officeDocument/2006/relationships/hyperlink" Target="https://plus.lexis.com/api/document?collection=cases&amp;id=urn:contentItem:3RX8-BK20-003G-P2XJ-00000-00&amp;context=1530671" TargetMode="External" /><Relationship Id="rId3" Type="http://schemas.openxmlformats.org/officeDocument/2006/relationships/hyperlink" Target="https://plus.lexis.com/api/document?collection=cases&amp;id=urn:contentItem:3SG2-MGF0-003G-P32V-00000-00&amp;context=1530671" TargetMode="External" /><Relationship Id="rId30" Type="http://schemas.openxmlformats.org/officeDocument/2006/relationships/hyperlink" Target="https://plus.lexis.com/api/document?collection=cases&amp;id=urn:contentItem:3RX8-BK20-003G-P2XJ-00000-00&amp;context=1530671" TargetMode="External" /><Relationship Id="rId4" Type="http://schemas.openxmlformats.org/officeDocument/2006/relationships/hyperlink" Target="https://plus.lexis.com/api/document?collection=statutes-legislation&amp;id=urn:contentItem:6348-FS71-DYB7-W4KK-00000-00&amp;context=1530671" TargetMode="External" /><Relationship Id="rId5" Type="http://schemas.openxmlformats.org/officeDocument/2006/relationships/hyperlink" Target="https://plus.lexis.com/api/document?collection=statutes-legislation&amp;id=urn:contentItem:6348-G111-DYB7-W431-00000-00&amp;context=1530671" TargetMode="External" /><Relationship Id="rId6" Type="http://schemas.openxmlformats.org/officeDocument/2006/relationships/hyperlink" Target="https://plus.lexis.com/api/document?collection=statutes-legislation&amp;id=urn:contentItem:6348-FS71-DYB7-W4KK-00000-00&amp;context=1530671" TargetMode="External" /><Relationship Id="rId7" Type="http://schemas.openxmlformats.org/officeDocument/2006/relationships/hyperlink" Target="https://plus.lexis.com/api/document?collection=cases&amp;id=urn:contentItem:5VKC-3RC1-F4W2-60YS-00000-00&amp;context=1530671" TargetMode="External" /><Relationship Id="rId8" Type="http://schemas.openxmlformats.org/officeDocument/2006/relationships/hyperlink" Target="https://plus.lexis.com/api/document?collection=cases&amp;id=urn:contentItem:5VKC-3RC1-F4W2-60YS-00000-00&amp;context=1530671" TargetMode="External" /><Relationship Id="rId9" Type="http://schemas.openxmlformats.org/officeDocument/2006/relationships/hyperlink" Target="https://plus.lexis.com/api/document?collection=cases&amp;id=urn:contentItem:3TF2-KF00-0039-427T-00000-00&amp;context=153067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Trabue v. Hanson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urn:contentItem:6H2X-5JJ3-RVKC-X2JV-00000-00">
    <vt:lpwstr>Doc::/shared/document|contextualFeaturePermID::1530671</vt:lpwstr>
  </property>
  <property fmtid="{D5CDD505-2E9C-101B-9397-08002B2CF9AE}" pid="4" name="LNDeliveryID">
    <vt:lpwstr>280593131</vt:lpwstr>
  </property>
  <property fmtid="{D5CDD505-2E9C-101B-9397-08002B2CF9AE}" pid="5" name="UserPermID">
    <vt:lpwstr>urn:user:PA197239389</vt:lpwstr>
  </property>
</Properties>
</file>