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0"/>
      </w:pPr>
    </w:p>
    <w:p>
      <w:pPr>
        <w:spacing w:after="160"/>
      </w:pPr>
      <w:r>
        <w:rPr>
          <w:rFonts w:ascii="Arial" w:hAnsi="Arial"/>
          <w:b/>
          <w:color w:val="0F766E"/>
          <w:sz w:val="18"/>
        </w:rPr>
        <w:t>DOSSIER DE INSPEÇÃO</w:t>
      </w:r>
    </w:p>
    <w:p>
      <w:pPr>
        <w:pStyle w:val="Title"/>
      </w:pPr>
      <w:r>
        <w:t>Registo de tempos de trabalho</w:t>
      </w:r>
    </w:p>
    <w:p>
      <w:pPr>
        <w:pStyle w:val="Subtitle"/>
      </w:pPr>
      <w:r>
        <w:t>Procedimento, evidências e plano de conformidade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D"/>
            <w:tcBorders>
              <w:top w:val="single" w:sz="8" w:color="B45309"/>
              <w:left w:val="single" w:sz="8" w:color="B45309"/>
              <w:bottom w:val="single" w:sz="8" w:color="B45309"/>
              <w:right w:val="single" w:sz="8" w:color="B45309"/>
              <w:insideH w:val="single" w:sz="8" w:color="B45309"/>
              <w:insideV w:val="single" w:sz="8" w:color="B4530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B45309"/>
              </w:rPr>
              <w:t>Estado em 12 de setembro de 2026</w:t>
            </w:r>
          </w:p>
          <w:p>
            <w:pPr>
              <w:spacing w:after="0"/>
            </w:pPr>
            <w:r>
              <w:t>O sistema cobre os elementos técnicos centrais do registo de tempos, da rastreabilidade das correções, do trabalho suplementar e da consulta imediata. A conformidade final depende também da prática diária da empresa e das ações assinaladas como pendentes neste dossier.</w:t>
            </w:r>
          </w:p>
        </w:tc>
      </w:tr>
    </w:tbl>
    <w:p>
      <w:pPr>
        <w:spacing w:after="360"/>
      </w:pPr>
    </w:p>
    <w:p>
      <w:pPr>
        <w:spacing w:after="60"/>
      </w:pPr>
      <w:r>
        <w:rPr>
          <w:rFonts w:ascii="Arial" w:hAnsi="Arial"/>
          <w:b/>
          <w:color w:val="13213C"/>
        </w:rPr>
        <w:t xml:space="preserve">Entidade empregadora: </w:t>
      </w:r>
      <w:r>
        <w:rPr>
          <w:rFonts w:ascii="Arial" w:hAnsi="Arial"/>
          <w:color w:val="475569"/>
        </w:rPr>
        <w:t>DAVID VASCONCELOS, UNIPESSOAL LDA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NIPC: </w:t>
      </w:r>
      <w:r>
        <w:rPr>
          <w:rFonts w:ascii="Arial" w:hAnsi="Arial"/>
          <w:color w:val="475569"/>
        </w:rPr>
        <w:t>515 399 507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Estabelecimento: </w:t>
      </w:r>
      <w:r>
        <w:rPr>
          <w:rFonts w:ascii="Arial" w:hAnsi="Arial"/>
          <w:color w:val="475569"/>
        </w:rPr>
        <w:t>Loja Atlantic Holiday, Caminho da Achada, Edifício Colinas da Achada, Bloco D, Porta 3.ª, R/C, Loja 1, 9000-208 Funchal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Atividade principal: </w:t>
      </w:r>
      <w:r>
        <w:rPr>
          <w:rFonts w:ascii="Arial" w:hAnsi="Arial"/>
          <w:color w:val="475569"/>
        </w:rPr>
        <w:t>Atividades de serviços de intermediação de alojamento — CAE 55400-R4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Período de funcionamento: </w:t>
      </w:r>
      <w:r>
        <w:rPr>
          <w:rFonts w:ascii="Arial" w:hAnsi="Arial"/>
          <w:color w:val="475569"/>
        </w:rPr>
        <w:t>Todos os dias, das 09:00 às 18:00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Contactos de privacidade: </w:t>
      </w:r>
      <w:r>
        <w:rPr>
          <w:rFonts w:ascii="Arial" w:hAnsi="Arial"/>
          <w:color w:val="475569"/>
        </w:rPr>
        <w:t>+351 966 353 822 e +351 926 614 444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Responsável pela aprovação: </w:t>
      </w:r>
      <w:r>
        <w:rPr>
          <w:rFonts w:ascii="Arial" w:hAnsi="Arial"/>
          <w:color w:val="475569"/>
        </w:rPr>
        <w:t>Gerência — aprovação interna pendente</w:t>
      </w:r>
    </w:p>
    <w:p>
      <w:pPr>
        <w:spacing w:after="320"/>
      </w:pPr>
    </w:p>
    <w:p>
      <w:pPr>
        <w:jc w:val="center"/>
      </w:pPr>
      <w:r>
        <w:rPr>
          <w:rFonts w:ascii="Arial" w:hAnsi="Arial"/>
          <w:color w:val="475569"/>
          <w:sz w:val="18"/>
        </w:rPr>
        <w:t>Preparado para apoio à gestão e apresentação organizada de evidências perante a inspeção laboral</w:t>
      </w:r>
    </w:p>
    <w:p>
      <w:r>
        <w:br w:type="page"/>
      </w:r>
    </w:p>
    <w:p>
      <w:pPr>
        <w:pStyle w:val="Heading1"/>
        <w:keepNext/>
      </w:pPr>
      <w:r>
        <w:t>1 Objetivo e conclusão</w:t>
      </w:r>
    </w:p>
    <w:p>
      <w:r>
        <w:t>Este dossier descreve como a empresa regista os tempos de trabalho, conserva evidências e responde a pedidos de consulta. Foi preparado com base no Código do Trabalho, no RGPD, na Lei n.º 58/2019 e nos dados societários fornecidos pela empresa. Não substitui aconselhamento jurídico nem uma decisão da Autoridade para as Condições do Trabalho ou da Direção Regional do Trabalho da Madeira.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CFDF5"/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  <w:insideH w:val="single" w:sz="8" w:color="0F766E"/>
              <w:insideV w:val="single" w:sz="8" w:color="0F766E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F766E"/>
              </w:rPr>
              <w:t>Conclusão operacional</w:t>
            </w:r>
          </w:p>
          <w:p>
            <w:pPr>
              <w:spacing w:after="0"/>
            </w:pPr>
            <w:r>
              <w:t>A aplicação está tecnicamente preparada para registar entrada, saída e intervalos, apurar tempos diários e semanais, conservar histórico auditável, imprimir ou exportar registos e tratar trabalho suplementar. Antes de considerar o processo encerrado, a empresa deve confirmar o IRCT/CCT aplicável, aprovar a informação de privacidade, afixar o mapa de horário, executar um teste real e instituir o arquivo mensal.</w:t>
            </w:r>
          </w:p>
        </w:tc>
      </w:tr>
    </w:tbl>
    <w:p>
      <w:pPr>
        <w:pStyle w:val="Heading1"/>
        <w:keepNext/>
      </w:pPr>
      <w:r>
        <w:t>2 Identificação e organização do trabalho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917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Informação de referência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Firma</w:t>
            </w:r>
          </w:p>
        </w:tc>
        <w:tc>
          <w:tcPr>
            <w:tcW w:type="dxa" w:w="691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DAVID VASCONCELOS, UNIPESSOAL LDA</w:t>
            </w:r>
          </w:p>
        </w:tc>
      </w:tr>
      <w:tr>
        <w:trPr>
          <w:cantSplit/>
        </w:trPr>
        <w:tc>
          <w:tcPr>
            <w:tcW w:type="dxa" w:w="2835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Natureza jurídica</w:t>
            </w:r>
          </w:p>
        </w:tc>
        <w:tc>
          <w:tcPr>
            <w:tcW w:type="dxa" w:w="691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Sociedade unipessoal por quotas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NIPC</w:t>
            </w:r>
          </w:p>
        </w:tc>
        <w:tc>
          <w:tcPr>
            <w:tcW w:type="dxa" w:w="691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515 399 507</w:t>
            </w:r>
          </w:p>
        </w:tc>
      </w:tr>
      <w:tr>
        <w:trPr>
          <w:cantSplit/>
        </w:trPr>
        <w:tc>
          <w:tcPr>
            <w:tcW w:type="dxa" w:w="2835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Sede e local predominante</w:t>
            </w:r>
          </w:p>
        </w:tc>
        <w:tc>
          <w:tcPr>
            <w:tcW w:type="dxa" w:w="691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Caminho da Achada, Edifício Colinas da Achada, Bloco D, Porta 3.ª, R/C, Loja 1, 9000-208 Funchal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Atividade principal</w:t>
            </w:r>
          </w:p>
        </w:tc>
        <w:tc>
          <w:tcPr>
            <w:tcW w:type="dxa" w:w="691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Atividades de serviços de intermediação de alojamento — CAE 55400-R4</w:t>
            </w:r>
          </w:p>
        </w:tc>
      </w:tr>
      <w:tr>
        <w:trPr>
          <w:cantSplit/>
        </w:trPr>
        <w:tc>
          <w:tcPr>
            <w:tcW w:type="dxa" w:w="2835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Período de funcionamento</w:t>
            </w:r>
          </w:p>
        </w:tc>
        <w:tc>
          <w:tcPr>
            <w:tcW w:type="dxa" w:w="691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Todos os dias, 09:00–18:00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Intervalo habitual</w:t>
            </w:r>
          </w:p>
        </w:tc>
        <w:tc>
          <w:tcPr>
            <w:tcW w:type="dxa" w:w="691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Uma hora para refeição; o horário concreto consta do horário individual</w:t>
            </w:r>
          </w:p>
        </w:tc>
      </w:tr>
      <w:tr>
        <w:trPr>
          <w:cantSplit/>
        </w:trPr>
        <w:tc>
          <w:tcPr>
            <w:tcW w:type="dxa" w:w="2835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Descanso semanal</w:t>
            </w:r>
          </w:p>
        </w:tc>
        <w:tc>
          <w:tcPr>
            <w:tcW w:type="dxa" w:w="691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Conforme o horário individual e a escala aplicável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Dia de encerramento</w:t>
            </w:r>
          </w:p>
        </w:tc>
        <w:tc>
          <w:tcPr>
            <w:tcW w:type="dxa" w:w="691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Sem dia fixo, de acordo com a informação fornecida</w:t>
            </w:r>
          </w:p>
        </w:tc>
      </w:tr>
      <w:tr>
        <w:trPr>
          <w:cantSplit/>
        </w:trPr>
        <w:tc>
          <w:tcPr>
            <w:tcW w:type="dxa" w:w="2835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IRCT/CCT</w:t>
            </w:r>
          </w:p>
        </w:tc>
        <w:tc>
          <w:tcPr>
            <w:tcW w:type="dxa" w:w="691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Por confirmar por contabilista, consultor laboral ou Direção Regional do Trabalho</w:t>
            </w:r>
          </w:p>
        </w:tc>
      </w:tr>
    </w:tbl>
    <w:p>
      <w:pPr>
        <w:spacing w:after="0"/>
      </w:pPr>
    </w:p>
    <w:p>
      <w:r>
        <w:t>A certidão permanente consultada foi emitida em 2026 e indica, entre outras atividades, alojamento, intermediação, gestão, marketing, limpeza e serviços relacionados. O mapa de horário deve refletir a atividade efetivamente exercida no estabelecimento e os regimes individuais em vigor.</w:t>
      </w:r>
    </w:p>
    <w:p>
      <w:pPr>
        <w:pStyle w:val="Heading1"/>
        <w:keepNext/>
      </w:pPr>
      <w:r>
        <w:t>3 Requisitos legais e evidência disponível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417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Base</w:t>
            </w:r>
          </w:p>
        </w:tc>
        <w:tc>
          <w:tcPr>
            <w:tcW w:type="dxa" w:w="2891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Obrigação</w:t>
            </w:r>
          </w:p>
        </w:tc>
        <w:tc>
          <w:tcPr>
            <w:tcW w:type="dxa" w:w="3515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Evidência do sistema</w:t>
            </w:r>
          </w:p>
        </w:tc>
        <w:tc>
          <w:tcPr>
            <w:tcW w:type="dxa" w:w="1928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CT art. 202.º</w:t>
            </w:r>
          </w:p>
        </w:tc>
        <w:tc>
          <w:tcPr>
            <w:tcW w:type="dxa" w:w="289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Registar início, termo e intervalos não incluídos; apurar horas por dia e semana; consulta imediata; conservar cinco anos.</w:t>
            </w:r>
          </w:p>
        </w:tc>
        <w:tc>
          <w:tcPr>
            <w:tcW w:type="dxa" w:w="351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Picagens de entrada/saída/pausas, resumo diário e semanal, impressão, CSV e arquivo mensal verificável.</w:t>
            </w:r>
          </w:p>
        </w:tc>
        <w:tc>
          <w:tcPr>
            <w:tcW w:type="dxa" w:w="19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Coberto tecnicamente</w:t>
            </w:r>
          </w:p>
        </w:tc>
      </w:tr>
      <w:tr>
        <w:trPr>
          <w:cantSplit/>
        </w:trPr>
        <w:tc>
          <w:tcPr>
            <w:tcW w:type="dxa" w:w="141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CT arts. 215.º e 216.º</w:t>
            </w:r>
          </w:p>
        </w:tc>
        <w:tc>
          <w:tcPr>
            <w:tcW w:type="dxa" w:w="289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Elaborar o mapa com identificação, atividade, local, período de funcionamento, horários, intervalos, descansos, IRCT e adaptabilidade; afixar em local visível.</w:t>
            </w:r>
          </w:p>
        </w:tc>
        <w:tc>
          <w:tcPr>
            <w:tcW w:type="dxa" w:w="3515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Configuração legal e mapa imprimível com horários individuais.</w:t>
            </w:r>
          </w:p>
        </w:tc>
        <w:tc>
          <w:tcPr>
            <w:tcW w:type="dxa" w:w="192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Afixação e IRCT pendentes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CT art. 217.º</w:t>
            </w:r>
          </w:p>
        </w:tc>
        <w:tc>
          <w:tcPr>
            <w:tcW w:type="dxa" w:w="289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Consultar e avisar antes de alterações de horário, respeitando os prazos legais e acordos individuais.</w:t>
            </w:r>
          </w:p>
        </w:tc>
        <w:tc>
          <w:tcPr>
            <w:tcW w:type="dxa" w:w="351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Histórico de horários e escalas na aplicação.</w:t>
            </w:r>
          </w:p>
        </w:tc>
        <w:tc>
          <w:tcPr>
            <w:tcW w:type="dxa" w:w="19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Procedimento interno necessário</w:t>
            </w:r>
          </w:p>
        </w:tc>
      </w:tr>
      <w:tr>
        <w:trPr>
          <w:cantSplit/>
        </w:trPr>
        <w:tc>
          <w:tcPr>
            <w:tcW w:type="dxa" w:w="141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CT art. 231.º</w:t>
            </w:r>
          </w:p>
        </w:tc>
        <w:tc>
          <w:tcPr>
            <w:tcW w:type="dxa" w:w="289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Registar trabalho suplementar antes do início e após o termo, fundamento, visto do trabalhador e descansos compensatórios; consulta e impressão imediatas.</w:t>
            </w:r>
          </w:p>
        </w:tc>
        <w:tc>
          <w:tcPr>
            <w:tcW w:type="dxa" w:w="3515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Autorização, motivo, início, fim, validação do trabalhador, revisão da gestão e exportação anual.</w:t>
            </w:r>
          </w:p>
        </w:tc>
        <w:tc>
          <w:tcPr>
            <w:tcW w:type="dxa" w:w="192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Coberto; exige uso disciplinado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RGPD arts. 5.º, 13.º, 15.º, 16.º, 24.º, 25.º e 32.º</w:t>
            </w:r>
          </w:p>
        </w:tc>
        <w:tc>
          <w:tcPr>
            <w:tcW w:type="dxa" w:w="289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Finalidade, transparência, minimização, acesso, retificação, responsabilidade e segurança adequadas ao risco.</w:t>
            </w:r>
          </w:p>
        </w:tc>
        <w:tc>
          <w:tcPr>
            <w:tcW w:type="dxa" w:w="351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Acesso por função, conta pessoal, exportação dos próprios dados, pedido de correção, PIN não consultável e regras Firestore.</w:t>
            </w:r>
          </w:p>
        </w:tc>
        <w:tc>
          <w:tcPr>
            <w:tcW w:type="dxa" w:w="19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Aviso formal pendente</w:t>
            </w:r>
          </w:p>
        </w:tc>
      </w:tr>
      <w:tr>
        <w:trPr>
          <w:cantSplit/>
        </w:trPr>
        <w:tc>
          <w:tcPr>
            <w:tcW w:type="dxa" w:w="141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Lei n.º 58/2019, art. 28.º</w:t>
            </w:r>
          </w:p>
        </w:tc>
        <w:tc>
          <w:tcPr>
            <w:tcW w:type="dxa" w:w="289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Tratamento de dados de trabalhadores para gestão laboral dentro dos limites legais e com deveres de sigilo.</w:t>
            </w:r>
          </w:p>
        </w:tc>
        <w:tc>
          <w:tcPr>
            <w:tcW w:type="dxa" w:w="3515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Separação entre dados pessoais, diretório mínimo, registos de assiduidade e acessos de gestão.</w:t>
            </w:r>
          </w:p>
        </w:tc>
        <w:tc>
          <w:tcPr>
            <w:tcW w:type="dxa" w:w="192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Coberto tecnicamente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Funcionamento do sistema</w:t>
      </w:r>
    </w:p>
    <w:p>
      <w:pPr>
        <w:pStyle w:val="Heading2"/>
        <w:keepNext/>
      </w:pPr>
      <w:r>
        <w:t>4.1 Identificação do trabalhador</w:t>
      </w:r>
    </w:p>
    <w:p>
      <w:r>
        <w:t>Cada trabalhador pode marcar o próprio tempo através da conta pessoal. No tablet partilhado, a pessoa introduz apenas o seu PIN de seis algarismos; a estação identifica o perfil depois de validar o código. A lista completa de trabalhadores e os PINs não ficam expostos na estação.</w:t>
      </w:r>
    </w:p>
    <w:p>
      <w:pPr>
        <w:pStyle w:val="ListBullet"/>
        <w:spacing w:after="60"/>
      </w:pPr>
      <w:r>
        <w:t>O PIN é individual, não deve ser partilhado e deve ser alterado se houver suspeita de divulgação.</w:t>
      </w:r>
    </w:p>
    <w:p>
      <w:pPr>
        <w:pStyle w:val="ListBullet"/>
        <w:spacing w:after="60"/>
      </w:pPr>
      <w:r>
        <w:t>A gestão vê apenas se existe um PIN configurado; o valor não pode ser consultado na aplicação.</w:t>
      </w:r>
    </w:p>
    <w:p>
      <w:pPr>
        <w:pStyle w:val="ListBullet"/>
        <w:spacing w:after="60"/>
      </w:pPr>
      <w:r>
        <w:t>O tablet deve permanecer bloqueado à aplicação e sob controlo físico do estabelecimento.</w:t>
      </w:r>
    </w:p>
    <w:p>
      <w:pPr>
        <w:pStyle w:val="Heading2"/>
        <w:keepNext/>
      </w:pPr>
      <w:r>
        <w:t>4.2 Eventos registados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2835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4989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Rastreabilidade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Entrada</w:t>
            </w:r>
          </w:p>
        </w:tc>
        <w:tc>
          <w:tcPr>
            <w:tcW w:type="dxa" w:w="283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Início do período de trabalho</w:t>
            </w:r>
          </w:p>
        </w:tc>
        <w:tc>
          <w:tcPr>
            <w:tcW w:type="dxa" w:w="498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Hora local de Portugal, hora UTC, identidade técnica e registo do servidor</w:t>
            </w:r>
          </w:p>
        </w:tc>
      </w:tr>
      <w:tr>
        <w:trPr>
          <w:cantSplit/>
        </w:trPr>
        <w:tc>
          <w:tcPr>
            <w:tcW w:type="dxa" w:w="192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Início de pausa</w:t>
            </w:r>
          </w:p>
        </w:tc>
        <w:tc>
          <w:tcPr>
            <w:tcW w:type="dxa" w:w="2835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Início de intervalo não incluído no tempo de trabalho</w:t>
            </w:r>
          </w:p>
        </w:tc>
        <w:tc>
          <w:tcPr>
            <w:tcW w:type="dxa" w:w="4989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Evento autónomo e ordem cronológica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Fim de pausa</w:t>
            </w:r>
          </w:p>
        </w:tc>
        <w:tc>
          <w:tcPr>
            <w:tcW w:type="dxa" w:w="283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Retoma do trabalho</w:t>
            </w:r>
          </w:p>
        </w:tc>
        <w:tc>
          <w:tcPr>
            <w:tcW w:type="dxa" w:w="498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Evento autónomo e ordem cronológica</w:t>
            </w:r>
          </w:p>
        </w:tc>
      </w:tr>
      <w:tr>
        <w:trPr>
          <w:cantSplit/>
        </w:trPr>
        <w:tc>
          <w:tcPr>
            <w:tcW w:type="dxa" w:w="192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Saída</w:t>
            </w:r>
          </w:p>
        </w:tc>
        <w:tc>
          <w:tcPr>
            <w:tcW w:type="dxa" w:w="2835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Termo do período de trabalho</w:t>
            </w:r>
          </w:p>
        </w:tc>
        <w:tc>
          <w:tcPr>
            <w:tcW w:type="dxa" w:w="4989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Evento, total diário e estado concluído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Correção manual</w:t>
            </w:r>
          </w:p>
        </w:tc>
        <w:tc>
          <w:tcPr>
            <w:tcW w:type="dxa" w:w="283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Falha, esquecimento ou inexatidão</w:t>
            </w:r>
          </w:p>
        </w:tc>
        <w:tc>
          <w:tcPr>
            <w:tcW w:type="dxa" w:w="498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Motivo obrigatório, autor, data, revisão e evento canónico</w:t>
            </w:r>
          </w:p>
        </w:tc>
      </w:tr>
    </w:tbl>
    <w:p>
      <w:pPr>
        <w:spacing w:after="0"/>
      </w:pPr>
    </w:p>
    <w:p>
      <w:r>
        <w:t>Os registos normais usam a hora do dispositivo e guardam também a hora UTC e a confirmação do servidor. As introduções manuais ficam identificadas como correções e exigem motivo e revisão. Nenhum utilizador pode apagar um registo de assiduidade; um evento incorreto é anulado por nova entrada auditada.</w:t>
      </w:r>
    </w:p>
    <w:p>
      <w:pPr>
        <w:pStyle w:val="Heading2"/>
        <w:keepNext/>
      </w:pPr>
      <w:r>
        <w:t>4.3 Consulta e exportação</w:t>
      </w:r>
    </w:p>
    <w:p>
      <w:pPr>
        <w:pStyle w:val="ListBullet"/>
        <w:spacing w:after="60"/>
      </w:pPr>
      <w:r>
        <w:t>Vista semanal e mensal por trabalhador, com total diário e total do período.</w:t>
      </w:r>
    </w:p>
    <w:p>
      <w:pPr>
        <w:pStyle w:val="ListBullet"/>
        <w:spacing w:after="60"/>
      </w:pPr>
      <w:r>
        <w:t>Impressão imediata do registo de tempos e exportação CSV.</w:t>
      </w:r>
    </w:p>
    <w:p>
      <w:pPr>
        <w:pStyle w:val="ListBullet"/>
        <w:spacing w:after="60"/>
      </w:pPr>
      <w:r>
        <w:t>Arquivo mensal JSON acompanhado de manifesto SHA-256 para verificar integridade.</w:t>
      </w:r>
    </w:p>
    <w:p>
      <w:pPr>
        <w:pStyle w:val="ListBullet"/>
        <w:spacing w:after="60"/>
      </w:pPr>
      <w:r>
        <w:t>Relação anual de trabalho suplementar em CSV.</w:t>
      </w:r>
    </w:p>
    <w:p>
      <w:pPr>
        <w:pStyle w:val="ListBullet"/>
        <w:spacing w:after="60"/>
      </w:pPr>
      <w:r>
        <w:t>Consulta pessoal e exportação dos próprios dados pelo trabalhador.</w:t>
      </w:r>
    </w:p>
    <w:p>
      <w:r>
        <w:br w:type="page"/>
      </w:r>
    </w:p>
    <w:p>
      <w:pPr>
        <w:pStyle w:val="Heading1"/>
        <w:keepNext/>
      </w:pPr>
      <w:r>
        <w:t>5 Procedimento diário</w:t>
      </w:r>
    </w:p>
    <w:p>
      <w:pPr>
        <w:pStyle w:val="ListNumber"/>
        <w:spacing w:after="80"/>
      </w:pPr>
      <w:r>
        <w:t>No início do trabalho, o trabalhador entra na própria conta ou introduz o PIN no tablet e confirma Entrada.</w:t>
      </w:r>
    </w:p>
    <w:p>
      <w:pPr>
        <w:pStyle w:val="ListNumber"/>
        <w:spacing w:after="80"/>
      </w:pPr>
      <w:r>
        <w:t>Antes de um intervalo que não conta como tempo de trabalho, confirma Início de pausa; quando regressa, confirma Fim de pausa.</w:t>
      </w:r>
    </w:p>
    <w:p>
      <w:pPr>
        <w:pStyle w:val="ListNumber"/>
        <w:spacing w:after="80"/>
      </w:pPr>
      <w:r>
        <w:t>No termo do trabalho, confirma Saída e verifica se o dia aparece como concluído.</w:t>
      </w:r>
    </w:p>
    <w:p>
      <w:pPr>
        <w:pStyle w:val="ListNumber"/>
        <w:spacing w:after="80"/>
      </w:pPr>
      <w:r>
        <w:t>Se o trabalhador prestar atividade no exterior, envia ou valida o registo logo que regressa, assegurando que a empresa dispõe do visto dentro de 15 dias.</w:t>
      </w:r>
    </w:p>
    <w:p>
      <w:pPr>
        <w:pStyle w:val="ListNumber"/>
        <w:spacing w:after="80"/>
      </w:pPr>
      <w:r>
        <w:t>Qualquer falha é comunicada no próprio dia. A gestão corrige por evento auditado, com motivo concreto, sem substituir nem apagar silenciosamente o original.</w:t>
      </w:r>
    </w:p>
    <w:p>
      <w:pPr>
        <w:pStyle w:val="Heading2"/>
        <w:keepNext/>
      </w:pPr>
      <w:r>
        <w:t>5.1 Falha de internet, energia ou tablet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D"/>
            <w:tcBorders>
              <w:top w:val="single" w:sz="8" w:color="B45309"/>
              <w:left w:val="single" w:sz="8" w:color="B45309"/>
              <w:bottom w:val="single" w:sz="8" w:color="B45309"/>
              <w:right w:val="single" w:sz="8" w:color="B45309"/>
              <w:insideH w:val="single" w:sz="8" w:color="B45309"/>
              <w:insideV w:val="single" w:sz="8" w:color="B4530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B45309"/>
              </w:rPr>
              <w:t>Regra de contingência</w:t>
            </w:r>
          </w:p>
          <w:p>
            <w:pPr>
              <w:spacing w:after="0"/>
            </w:pPr>
            <w:r>
              <w:t>Na indisponibilidade do sistema, usar o formulário do Anexo A. Assim que a aplicação voltar, a gestão introduz os eventos como correção manual, indica o motivo da indisponibilidade e conserva o formulário assinado juntamente com o arquivo do mês.</w:t>
            </w:r>
          </w:p>
        </w:tc>
      </w:tr>
    </w:tbl>
    <w:p>
      <w:pPr>
        <w:pStyle w:val="ListBullet"/>
        <w:spacing w:after="60"/>
      </w:pPr>
      <w:r>
        <w:t>Não inventar horas nem repetir picagens para compensar a falha.</w:t>
      </w:r>
    </w:p>
    <w:p>
      <w:pPr>
        <w:pStyle w:val="ListBullet"/>
        <w:spacing w:after="60"/>
      </w:pPr>
      <w:r>
        <w:t>Registar a hora observada, o local, o motivo e as assinaturas do trabalhador e de quem conferiu.</w:t>
      </w:r>
    </w:p>
    <w:p>
      <w:pPr>
        <w:pStyle w:val="ListBullet"/>
        <w:spacing w:after="60"/>
      </w:pPr>
      <w:r>
        <w:t>Se a sincronização ficar pendente, não limpar dados do navegador nem reinstalar a aplicação antes de confirmar o envio.</w:t>
      </w:r>
    </w:p>
    <w:p>
      <w:pPr>
        <w:pStyle w:val="Heading1"/>
        <w:keepNext/>
      </w:pPr>
      <w:r>
        <w:t>6 Trabalho suplementar</w:t>
      </w:r>
    </w:p>
    <w:p>
      <w:r>
        <w:t>O trabalho suplementar deve ser tratado num fluxo autónomo. Sempre que previsível, a gestão autoriza antes do início e regista o fundamento concreto, o local e a forma de compensação. O trabalhador marca o início e o fim, valida o registo e a gestão conclui a revisão.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1871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6066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Evidência mínima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Autorização</w:t>
            </w:r>
          </w:p>
        </w:tc>
        <w:tc>
          <w:tcPr>
            <w:tcW w:type="dxa" w:w="187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Gestão</w:t>
            </w:r>
          </w:p>
        </w:tc>
        <w:tc>
          <w:tcPr>
            <w:tcW w:type="dxa" w:w="606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Data, trabalhador, fundamento legal e factual, local, pagamento ou descanso</w:t>
            </w:r>
          </w:p>
        </w:tc>
      </w:tr>
      <w:tr>
        <w:trPr>
          <w:cantSplit/>
        </w:trPr>
        <w:tc>
          <w:tcPr>
            <w:tcW w:type="dxa" w:w="181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Início</w:t>
            </w:r>
          </w:p>
        </w:tc>
        <w:tc>
          <w:tcPr>
            <w:tcW w:type="dxa" w:w="187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Trabalhador</w:t>
            </w:r>
          </w:p>
        </w:tc>
        <w:tc>
          <w:tcPr>
            <w:tcW w:type="dxa" w:w="606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Hora real imediatamente antes do trabalho suplementar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Termo</w:t>
            </w:r>
          </w:p>
        </w:tc>
        <w:tc>
          <w:tcPr>
            <w:tcW w:type="dxa" w:w="187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Trabalhador</w:t>
            </w:r>
          </w:p>
        </w:tc>
        <w:tc>
          <w:tcPr>
            <w:tcW w:type="dxa" w:w="606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Hora real imediatamente após o fim</w:t>
            </w:r>
          </w:p>
        </w:tc>
      </w:tr>
      <w:tr>
        <w:trPr>
          <w:cantSplit/>
        </w:trPr>
        <w:tc>
          <w:tcPr>
            <w:tcW w:type="dxa" w:w="181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Visto</w:t>
            </w:r>
          </w:p>
        </w:tc>
        <w:tc>
          <w:tcPr>
            <w:tcW w:type="dxa" w:w="187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Trabalhador</w:t>
            </w:r>
          </w:p>
        </w:tc>
        <w:tc>
          <w:tcPr>
            <w:tcW w:type="dxa" w:w="606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Validação após a prestação; para trabalho exterior, dentro do prazo aplicável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Revisão</w:t>
            </w:r>
          </w:p>
        </w:tc>
        <w:tc>
          <w:tcPr>
            <w:tcW w:type="dxa" w:w="187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Gestão</w:t>
            </w:r>
          </w:p>
        </w:tc>
        <w:tc>
          <w:tcPr>
            <w:tcW w:type="dxa" w:w="606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Nota de conferência e data de descanso compensatório, quando aplicável</w:t>
            </w:r>
          </w:p>
        </w:tc>
      </w:tr>
      <w:tr>
        <w:trPr>
          <w:cantSplit/>
        </w:trPr>
        <w:tc>
          <w:tcPr>
            <w:tcW w:type="dxa" w:w="181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Arquivo</w:t>
            </w:r>
          </w:p>
        </w:tc>
        <w:tc>
          <w:tcPr>
            <w:tcW w:type="dxa" w:w="187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Gestão</w:t>
            </w:r>
          </w:p>
        </w:tc>
        <w:tc>
          <w:tcPr>
            <w:tcW w:type="dxa" w:w="6066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Relação anual e registos mensais conservados durante cinco anos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D"/>
            <w:tcBorders>
              <w:top w:val="single" w:sz="8" w:color="B45309"/>
              <w:left w:val="single" w:sz="8" w:color="B45309"/>
              <w:bottom w:val="single" w:sz="8" w:color="B45309"/>
              <w:right w:val="single" w:sz="8" w:color="B45309"/>
              <w:insideH w:val="single" w:sz="8" w:color="B45309"/>
              <w:insideV w:val="single" w:sz="8" w:color="B45309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B45309"/>
              </w:rPr>
              <w:t>Limites e compensação</w:t>
            </w:r>
          </w:p>
          <w:p>
            <w:pPr>
              <w:spacing w:after="0"/>
            </w:pPr>
            <w:r>
              <w:t>A aplicação documenta o processo, mas não substitui a conferência dos limites diários e anuais, do pagamento, dos descansos e das regras eventualmente mais favoráveis constantes do IRCT/CCT.</w:t>
            </w:r>
          </w:p>
        </w:tc>
      </w:tr>
    </w:tbl>
    <w:p>
      <w:pPr>
        <w:pStyle w:val="Heading1"/>
        <w:keepNext/>
      </w:pPr>
      <w:r>
        <w:t>7 Correções, validação e não apagamento</w:t>
      </w:r>
    </w:p>
    <w:p>
      <w:pPr>
        <w:pStyle w:val="ListBullet"/>
        <w:spacing w:after="60"/>
      </w:pPr>
      <w:r>
        <w:t>O trabalhador pode pedir correção a partir da própria conta e acompanhar o estado do pedido.</w:t>
      </w:r>
    </w:p>
    <w:p>
      <w:pPr>
        <w:pStyle w:val="ListBullet"/>
        <w:spacing w:after="60"/>
      </w:pPr>
      <w:r>
        <w:t>A gestão regista o motivo, o autor e a data de cada correção.</w:t>
      </w:r>
    </w:p>
    <w:p>
      <w:pPr>
        <w:pStyle w:val="ListBullet"/>
        <w:spacing w:after="60"/>
      </w:pPr>
      <w:r>
        <w:t>Os eventos originais mantêm-se; a anulação é representada por um novo evento canónico.</w:t>
      </w:r>
    </w:p>
    <w:p>
      <w:pPr>
        <w:pStyle w:val="ListBullet"/>
        <w:spacing w:after="60"/>
      </w:pPr>
      <w:r>
        <w:t>Os dias completos podem ser confirmados pelo trabalhador, mantendo histórico de confirmações.</w:t>
      </w:r>
    </w:p>
    <w:p>
      <w:pPr>
        <w:pStyle w:val="ListBullet"/>
        <w:spacing w:after="60"/>
      </w:pPr>
      <w:r>
        <w:t>Os registos com introdução manual ou inconsistência ficam numa fila de revisão.</w:t>
      </w:r>
    </w:p>
    <w:p>
      <w:r>
        <w:br w:type="page"/>
      </w:r>
    </w:p>
    <w:p>
      <w:pPr>
        <w:pStyle w:val="Heading1"/>
        <w:keepNext/>
      </w:pPr>
      <w:r>
        <w:t>8 Privacidade e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7483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Regra interna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Finalidade</w:t>
            </w:r>
          </w:p>
        </w:tc>
        <w:tc>
          <w:tcPr>
            <w:tcW w:type="dxa" w:w="748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Cumprir obrigações laborais, gerir assiduidade, apurar remuneração e descansos e responder a inspeções.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Base jurídica</w:t>
            </w:r>
          </w:p>
        </w:tc>
        <w:tc>
          <w:tcPr>
            <w:tcW w:type="dxa" w:w="7483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Cumprimento de obrigação jurídica e execução da relação laboral; não assentar no consentimento do trabalhador como regra geral.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Dados</w:t>
            </w:r>
          </w:p>
        </w:tc>
        <w:tc>
          <w:tcPr>
            <w:tcW w:type="dxa" w:w="748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Identificação profissional, horário, picagens, pausas, correções, validações e trabalho suplementar.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Acesso</w:t>
            </w:r>
          </w:p>
        </w:tc>
        <w:tc>
          <w:tcPr>
            <w:tcW w:type="dxa" w:w="7483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Próprio trabalhador para os seus dados; gestão autorizada para funções laborais; estação apenas para autenticar e marcar.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Calendário de férias</w:t>
            </w:r>
          </w:p>
        </w:tc>
        <w:tc>
          <w:tcPr>
            <w:tcW w:type="dxa" w:w="748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Visível à equipa apenas com informação operacional necessária. Não expor notas privadas, contactos, saldos, horas de ponto ou motivos de ausência.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Conservação</w:t>
            </w:r>
          </w:p>
        </w:tc>
        <w:tc>
          <w:tcPr>
            <w:tcW w:type="dxa" w:w="7483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Registos de tempos e trabalho suplementar durante cinco anos. Outros dados seguem o prazo necessário à respetiva finalidade ou obrigação.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Direitos</w:t>
            </w:r>
          </w:p>
        </w:tc>
        <w:tc>
          <w:tcPr>
            <w:tcW w:type="dxa" w:w="748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Informação, acesso, retificação e demais direitos aplicáveis através dos contactos +351 966 353 822 e +351 926 614 444.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Prestadores</w:t>
            </w:r>
          </w:p>
        </w:tc>
        <w:tc>
          <w:tcPr>
            <w:tcW w:type="dxa" w:w="7483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Documentar os fornecedores que alojam ou tratam dados, as garantias contratuais e as localizações relevantes.</w:t>
            </w:r>
          </w:p>
        </w:tc>
      </w:tr>
    </w:tbl>
    <w:p>
      <w:pPr>
        <w:spacing w:after="0"/>
      </w:pPr>
    </w:p>
    <w:p>
      <w:r>
        <w:t>A empresa deve entregar ou disponibilizar aos trabalhadores um aviso de privacidade aprovado, com a identidade do responsável, finalidades, bases jurídicas, categorias de destinatários, prazos, direitos e contacto. O facto de a aplicação mostrar esta informação não dispensa a aprovação interna do texto.</w:t>
      </w:r>
    </w:p>
    <w:p>
      <w:pPr>
        <w:pStyle w:val="Heading1"/>
        <w:keepNext/>
      </w:pPr>
      <w:r>
        <w:t>9 Segurança e continuidade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Controlo</w:t>
            </w:r>
          </w:p>
        </w:tc>
        <w:tc>
          <w:tcPr>
            <w:tcW w:type="dxa" w:w="7483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Procedimento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Contas pessoais</w:t>
            </w:r>
          </w:p>
        </w:tc>
        <w:tc>
          <w:tcPr>
            <w:tcW w:type="dxa" w:w="748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Não partilhar palavras-passe; remover acesso quando termina a relação; rever funções trimestralmente.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Tablet</w:t>
            </w:r>
          </w:p>
        </w:tc>
        <w:tc>
          <w:tcPr>
            <w:tcW w:type="dxa" w:w="7483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Conta exclusiva de estação, ecrã bloqueado, acesso físico controlado, atualizações instaladas e sem aplicações pessoais.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PIN</w:t>
            </w:r>
          </w:p>
        </w:tc>
        <w:tc>
          <w:tcPr>
            <w:tcW w:type="dxa" w:w="748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Seis algarismos únicos; entrega individual; alteração imediata em caso de suspeita; o valor não fica visível à gestão.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Firestore</w:t>
            </w:r>
          </w:p>
        </w:tc>
        <w:tc>
          <w:tcPr>
            <w:tcW w:type="dxa" w:w="7483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Regras impedem leitura cruzada dos dados pessoais e impedem alteração ou eliminação não autorizada de eventos.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Arquivo</w:t>
            </w:r>
          </w:p>
        </w:tc>
        <w:tc>
          <w:tcPr>
            <w:tcW w:type="dxa" w:w="748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Exportar mensalmente dados e manifesto; guardar em dois locais separados com acesso restrito.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Incidente</w:t>
            </w:r>
          </w:p>
        </w:tc>
        <w:tc>
          <w:tcPr>
            <w:tcW w:type="dxa" w:w="7483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Registar perda, acesso indevido ou indisponibilidade; avaliar risco e obrigações de notificação RGPD.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Teste</w:t>
            </w:r>
          </w:p>
        </w:tc>
        <w:tc>
          <w:tcPr>
            <w:tcW w:type="dxa" w:w="748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Testar trimestralmente uma restauração de arquivo e verificar o SHA-256 com o utilitário do projeto.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 Conteúdo do dossier de inspeção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24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N.º</w:t>
            </w:r>
          </w:p>
        </w:tc>
        <w:tc>
          <w:tcPr>
            <w:tcW w:type="dxa" w:w="2041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4989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Conteúdo</w:t>
            </w:r>
          </w:p>
        </w:tc>
        <w:tc>
          <w:tcPr>
            <w:tcW w:type="dxa" w:w="2098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Certidão permanente</w:t>
            </w:r>
          </w:p>
        </w:tc>
        <w:tc>
          <w:tcPr>
            <w:tcW w:type="dxa" w:w="498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Certidão válida e identificação atualizada da entidade</w:t>
            </w:r>
          </w:p>
        </w:tc>
        <w:tc>
          <w:tcPr>
            <w:tcW w:type="dxa" w:w="20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Disponível</w:t>
            </w:r>
          </w:p>
        </w:tc>
      </w:tr>
      <w:tr>
        <w:trPr>
          <w:cantSplit/>
        </w:trPr>
        <w:tc>
          <w:tcPr>
            <w:tcW w:type="dxa" w:w="62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type="dxa" w:w="204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Mapa de horário</w:t>
            </w:r>
          </w:p>
        </w:tc>
        <w:tc>
          <w:tcPr>
            <w:tcW w:type="dxa" w:w="4989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Versão atual, assinada ou aprovada e afixada; incluir horários individuais e escalas</w:t>
            </w:r>
          </w:p>
        </w:tc>
        <w:tc>
          <w:tcPr>
            <w:tcW w:type="dxa" w:w="209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 concluir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type="dxa" w:w="204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Registos de tempos</w:t>
            </w:r>
          </w:p>
        </w:tc>
        <w:tc>
          <w:tcPr>
            <w:tcW w:type="dxa" w:w="498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Impressão/CSV por trabalhador, dia, semana ou mês; últimos cinco anos</w:t>
            </w:r>
          </w:p>
        </w:tc>
        <w:tc>
          <w:tcPr>
            <w:tcW w:type="dxa" w:w="20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Sistema pronto</w:t>
            </w:r>
          </w:p>
        </w:tc>
      </w:tr>
      <w:tr>
        <w:trPr>
          <w:cantSplit/>
        </w:trPr>
        <w:tc>
          <w:tcPr>
            <w:tcW w:type="dxa" w:w="62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type="dxa" w:w="204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Trabalho suplementar</w:t>
            </w:r>
          </w:p>
        </w:tc>
        <w:tc>
          <w:tcPr>
            <w:tcW w:type="dxa" w:w="4989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Autorizações, fundamentos, início/termo, vistos, descansos e relação anual</w:t>
            </w:r>
          </w:p>
        </w:tc>
        <w:tc>
          <w:tcPr>
            <w:tcW w:type="dxa" w:w="209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Sistema pronto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type="dxa" w:w="204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Correções</w:t>
            </w:r>
          </w:p>
        </w:tc>
        <w:tc>
          <w:tcPr>
            <w:tcW w:type="dxa" w:w="498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Pedido, motivo, evento original, correção, autor, data e revisão</w:t>
            </w:r>
          </w:p>
        </w:tc>
        <w:tc>
          <w:tcPr>
            <w:tcW w:type="dxa" w:w="20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Sistema pronto</w:t>
            </w:r>
          </w:p>
        </w:tc>
      </w:tr>
      <w:tr>
        <w:trPr>
          <w:cantSplit/>
        </w:trPr>
        <w:tc>
          <w:tcPr>
            <w:tcW w:type="dxa" w:w="62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type="dxa" w:w="204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Arquivo de integridade</w:t>
            </w:r>
          </w:p>
        </w:tc>
        <w:tc>
          <w:tcPr>
            <w:tcW w:type="dxa" w:w="4989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JSON mensal e manifesto SHA-256 guardados separadamente</w:t>
            </w:r>
          </w:p>
        </w:tc>
        <w:tc>
          <w:tcPr>
            <w:tcW w:type="dxa" w:w="209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Rotina a iniciar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7</w:t>
            </w:r>
          </w:p>
        </w:tc>
        <w:tc>
          <w:tcPr>
            <w:tcW w:type="dxa" w:w="204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Privacidade</w:t>
            </w:r>
          </w:p>
        </w:tc>
        <w:tc>
          <w:tcPr>
            <w:tcW w:type="dxa" w:w="498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Aviso aos trabalhadores, matriz de acessos, lista de prestadores e registo de incidentes</w:t>
            </w:r>
          </w:p>
        </w:tc>
        <w:tc>
          <w:tcPr>
            <w:tcW w:type="dxa" w:w="20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 aprovar</w:t>
            </w:r>
          </w:p>
        </w:tc>
      </w:tr>
      <w:tr>
        <w:trPr>
          <w:cantSplit/>
        </w:trPr>
        <w:tc>
          <w:tcPr>
            <w:tcW w:type="dxa" w:w="62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  <w:tc>
          <w:tcPr>
            <w:tcW w:type="dxa" w:w="204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IRCT/CCT</w:t>
            </w:r>
          </w:p>
        </w:tc>
        <w:tc>
          <w:tcPr>
            <w:tcW w:type="dxa" w:w="4989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Identificação do instrumento aplicável ou parecer documentado de inexistência</w:t>
            </w:r>
          </w:p>
        </w:tc>
        <w:tc>
          <w:tcPr>
            <w:tcW w:type="dxa" w:w="209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Por confirmar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9</w:t>
            </w:r>
          </w:p>
        </w:tc>
        <w:tc>
          <w:tcPr>
            <w:tcW w:type="dxa" w:w="204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Formação</w:t>
            </w:r>
          </w:p>
        </w:tc>
        <w:tc>
          <w:tcPr>
            <w:tcW w:type="dxa" w:w="498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Lista de trabalhadores informados sobre marcação, correções e PIN</w:t>
            </w:r>
          </w:p>
        </w:tc>
        <w:tc>
          <w:tcPr>
            <w:tcW w:type="dxa" w:w="20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 executar</w:t>
            </w:r>
          </w:p>
        </w:tc>
      </w:tr>
      <w:tr>
        <w:trPr>
          <w:cantSplit/>
        </w:trPr>
        <w:tc>
          <w:tcPr>
            <w:tcW w:type="dxa" w:w="62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204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Testes</w:t>
            </w:r>
          </w:p>
        </w:tc>
        <w:tc>
          <w:tcPr>
            <w:tcW w:type="dxa" w:w="4989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Relatório técnico e prova de um teste real controlado</w:t>
            </w:r>
          </w:p>
        </w:tc>
        <w:tc>
          <w:tcPr>
            <w:tcW w:type="dxa" w:w="209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Técnico concluído; real pendente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 Plano de fecho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850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3912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Medida</w:t>
            </w:r>
          </w:p>
        </w:tc>
        <w:tc>
          <w:tcPr>
            <w:tcW w:type="dxa" w:w="3118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1871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Prazo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</w:t>
            </w:r>
          </w:p>
        </w:tc>
        <w:tc>
          <w:tcPr>
            <w:tcW w:type="dxa" w:w="3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Confirmar o IRCT/CCT e regras regionais aplicáveis</w:t>
            </w:r>
          </w:p>
        </w:tc>
        <w:tc>
          <w:tcPr>
            <w:tcW w:type="dxa" w:w="311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Gerência com contabilista/consultor laboral ou DRT Madeira</w:t>
            </w:r>
          </w:p>
        </w:tc>
        <w:tc>
          <w:tcPr>
            <w:tcW w:type="dxa" w:w="187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Antes da aprovação do mapa</w:t>
            </w:r>
          </w:p>
        </w:tc>
      </w:tr>
      <w:tr>
        <w:trPr>
          <w:cantSplit/>
        </w:trPr>
        <w:tc>
          <w:tcPr>
            <w:tcW w:type="dxa" w:w="850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B</w:t>
            </w:r>
          </w:p>
        </w:tc>
        <w:tc>
          <w:tcPr>
            <w:tcW w:type="dxa" w:w="391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Aprovar e afixar o mapa de horário; anexar escalas individuais</w:t>
            </w:r>
          </w:p>
        </w:tc>
        <w:tc>
          <w:tcPr>
            <w:tcW w:type="dxa" w:w="311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Gerência</w:t>
            </w:r>
          </w:p>
        </w:tc>
        <w:tc>
          <w:tcPr>
            <w:tcW w:type="dxa" w:w="187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Imediato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</w:t>
            </w:r>
          </w:p>
        </w:tc>
        <w:tc>
          <w:tcPr>
            <w:tcW w:type="dxa" w:w="3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Aprovar e entregar o aviso de privacidade</w:t>
            </w:r>
          </w:p>
        </w:tc>
        <w:tc>
          <w:tcPr>
            <w:tcW w:type="dxa" w:w="311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Gerência / responsável RGPD</w:t>
            </w:r>
          </w:p>
        </w:tc>
        <w:tc>
          <w:tcPr>
            <w:tcW w:type="dxa" w:w="187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Antes do uso regular</w:t>
            </w:r>
          </w:p>
        </w:tc>
      </w:tr>
      <w:tr>
        <w:trPr>
          <w:cantSplit/>
        </w:trPr>
        <w:tc>
          <w:tcPr>
            <w:tcW w:type="dxa" w:w="850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D</w:t>
            </w:r>
          </w:p>
        </w:tc>
        <w:tc>
          <w:tcPr>
            <w:tcW w:type="dxa" w:w="391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Executar teste real com uma conta de gestão, uma conta de trabalhador e o tablet</w:t>
            </w:r>
          </w:p>
        </w:tc>
        <w:tc>
          <w:tcPr>
            <w:tcW w:type="dxa" w:w="311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Gestão e trabalhador designado</w:t>
            </w:r>
          </w:p>
        </w:tc>
        <w:tc>
          <w:tcPr>
            <w:tcW w:type="dxa" w:w="187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Antes da entrada em produção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E</w:t>
            </w:r>
          </w:p>
        </w:tc>
        <w:tc>
          <w:tcPr>
            <w:tcW w:type="dxa" w:w="3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Rever todas as picagens da primeira semana e corrigir desvios com motivo</w:t>
            </w:r>
          </w:p>
        </w:tc>
        <w:tc>
          <w:tcPr>
            <w:tcW w:type="dxa" w:w="311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Gestão</w:t>
            </w:r>
          </w:p>
        </w:tc>
        <w:tc>
          <w:tcPr>
            <w:tcW w:type="dxa" w:w="187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Primeira semana</w:t>
            </w:r>
          </w:p>
        </w:tc>
      </w:tr>
      <w:tr>
        <w:trPr>
          <w:cantSplit/>
        </w:trPr>
        <w:tc>
          <w:tcPr>
            <w:tcW w:type="dxa" w:w="850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F</w:t>
            </w:r>
          </w:p>
        </w:tc>
        <w:tc>
          <w:tcPr>
            <w:tcW w:type="dxa" w:w="391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Exportar o arquivo verificável e guardar cópia separada</w:t>
            </w:r>
          </w:p>
        </w:tc>
        <w:tc>
          <w:tcPr>
            <w:tcW w:type="dxa" w:w="311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Gestão</w:t>
            </w:r>
          </w:p>
        </w:tc>
        <w:tc>
          <w:tcPr>
            <w:tcW w:type="dxa" w:w="187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G</w:t>
            </w:r>
          </w:p>
        </w:tc>
        <w:tc>
          <w:tcPr>
            <w:tcW w:type="dxa" w:w="3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Rever acessos, trabalhadores arquivados e PINs</w:t>
            </w:r>
          </w:p>
        </w:tc>
        <w:tc>
          <w:tcPr>
            <w:tcW w:type="dxa" w:w="311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Administração</w:t>
            </w:r>
          </w:p>
        </w:tc>
        <w:tc>
          <w:tcPr>
            <w:tcW w:type="dxa" w:w="187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Trimestral</w:t>
            </w:r>
          </w:p>
        </w:tc>
      </w:tr>
      <w:tr>
        <w:trPr>
          <w:cantSplit/>
        </w:trPr>
        <w:tc>
          <w:tcPr>
            <w:tcW w:type="dxa" w:w="850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H</w:t>
            </w:r>
          </w:p>
        </w:tc>
        <w:tc>
          <w:tcPr>
            <w:tcW w:type="dxa" w:w="391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Rever legislação, dossier e testes</w:t>
            </w:r>
          </w:p>
        </w:tc>
        <w:tc>
          <w:tcPr>
            <w:tcW w:type="dxa" w:w="311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Gerência</w:t>
            </w:r>
          </w:p>
        </w:tc>
        <w:tc>
          <w:tcPr>
            <w:tcW w:type="dxa" w:w="187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Anual ou após alteração relevante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 Migração do calendário de férias de 2026</w:t>
      </w:r>
    </w:p>
    <w:p>
      <w:r>
        <w:t>A atualização preparada abrange 18 trabalhadores e usa o identificador técnico calendar-2026-v2. A fonte reconcilia 726 dias de direito acumulado, 185 dias usados até 2025, 270 dias reportados em 2026 e 271 dias remanescentes. O plano recusa a operação se faltar um trabalhador ou existir correspondência ambígua.</w:t>
      </w:r>
    </w:p>
    <w:p>
      <w:pPr>
        <w:pStyle w:val="ListBullet"/>
        <w:spacing w:after="60"/>
      </w:pPr>
      <w:r>
        <w:t>Correspondência prioritária por nome completo normalizado e, em alternativa, pelo número de trabalhador para perfis cujo nome tenha mudado.</w:t>
      </w:r>
    </w:p>
    <w:p>
      <w:pPr>
        <w:pStyle w:val="ListBullet"/>
        <w:spacing w:after="60"/>
      </w:pPr>
      <w:r>
        <w:t>Cópia de segurança criada na mesma operação atómica, antes de substituir os registos de 2026.</w:t>
      </w:r>
    </w:p>
    <w:p>
      <w:pPr>
        <w:pStyle w:val="ListBullet"/>
        <w:spacing w:after="60"/>
      </w:pPr>
      <w:r>
        <w:t>Cópia limitada a saldos, baseline, férias e registos afetados; acesso reservado a funções de gestão.</w:t>
      </w:r>
    </w:p>
    <w:p>
      <w:pPr>
        <w:pStyle w:val="ListBullet"/>
        <w:spacing w:after="60"/>
      </w:pPr>
      <w:r>
        <w:t>Registos fora de 2026 são preservados, incluindo segmentos de períodos que atravessam a passagem de ano.</w:t>
      </w:r>
    </w:p>
    <w:p>
      <w:pPr>
        <w:pStyle w:val="ListBullet"/>
        <w:spacing w:after="60"/>
      </w:pPr>
      <w:r>
        <w:t>Aplicação única, identificada nas definições globais, e validação posterior de contagens e saldos.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CFDF5"/>
            <w:tcBorders>
              <w:top w:val="single" w:sz="8" w:color="0F766E"/>
              <w:left w:val="single" w:sz="8" w:color="0F766E"/>
              <w:bottom w:val="single" w:sz="8" w:color="0F766E"/>
              <w:right w:val="single" w:sz="8" w:color="0F766E"/>
              <w:insideH w:val="single" w:sz="8" w:color="0F766E"/>
              <w:insideV w:val="single" w:sz="8" w:color="0F766E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F766E"/>
              </w:rPr>
              <w:t>Estado da execução</w:t>
            </w:r>
          </w:p>
          <w:p>
            <w:pPr>
              <w:spacing w:after="0"/>
            </w:pPr>
            <w:r>
              <w:t>Migração aplicada em produção em 12/09/2026 às 13:58:54 UTC. Foram correspondidos 18 de 18 trabalhadores, sem omissões ou ambiguidades, e validados os períodos e saldos de cada perfil sem falhas. A cópia de segurança contém os 18 perfis e 110 registos anteriores. A operação não criou nem alterou picagens de assiduidade.</w:t>
            </w:r>
          </w:p>
        </w:tc>
      </w:tr>
    </w:tbl>
    <w:p>
      <w:pPr>
        <w:pStyle w:val="Heading1"/>
        <w:keepNext/>
      </w:pPr>
      <w:r>
        <w:t>13 Evidência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94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Evidência</w:t>
            </w:r>
          </w:p>
        </w:tc>
        <w:tc>
          <w:tcPr>
            <w:tcW w:type="dxa" w:w="7257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Testes da aplicação</w:t>
            </w:r>
          </w:p>
        </w:tc>
        <w:tc>
          <w:tcPr>
            <w:tcW w:type="dxa" w:w="725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444 testes de navegador aprovados em 12/09/2026</w:t>
            </w:r>
          </w:p>
        </w:tc>
      </w:tr>
      <w:tr>
        <w:trPr>
          <w:cantSplit/>
        </w:trPr>
        <w:tc>
          <w:tcPr>
            <w:tcW w:type="dxa" w:w="249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Regras de segurança</w:t>
            </w:r>
          </w:p>
        </w:tc>
        <w:tc>
          <w:tcPr>
            <w:tcW w:type="dxa" w:w="725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Suite de integração Firestore aprovada, incluindo isolamento da cópia de férias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Integridade</w:t>
            </w:r>
          </w:p>
        </w:tc>
        <w:tc>
          <w:tcPr>
            <w:tcW w:type="dxa" w:w="725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Eventos canónicos imutáveis e arquivo mensal com manifesto SHA-256</w:t>
            </w:r>
          </w:p>
        </w:tc>
      </w:tr>
      <w:tr>
        <w:trPr>
          <w:cantSplit/>
        </w:trPr>
        <w:tc>
          <w:tcPr>
            <w:tcW w:type="dxa" w:w="249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Retenção</w:t>
            </w:r>
          </w:p>
        </w:tc>
        <w:tc>
          <w:tcPr>
            <w:tcW w:type="dxa" w:w="725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Campo retainUntil calculado por cinco anos para assiduidade e trabalho suplementar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Versões anteriores</w:t>
            </w:r>
          </w:p>
        </w:tc>
        <w:tc>
          <w:tcPr>
            <w:tcW w:type="dxa" w:w="725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fd775b6 — contacto RGPD no autosserviço; 26a2c17 — segurança do acesso pessoal a tarefas; 008f59e — migração segura e dossier de inspeção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Anexo A Registo manual de contingência</w:t>
      </w:r>
    </w:p>
    <w:p>
      <w:r>
        <w:t>Usar apenas quando o registo digital estiver indisponível. Preencher no momento dos factos, sem rasuras não ressalvadas. Depois da reposição, transcrever por correção auditada e arquivar este original com o mês respetivo.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Data: </w:t>
      </w:r>
      <w:r>
        <w:rPr>
          <w:rFonts w:ascii="Arial" w:hAnsi="Arial"/>
          <w:color w:val="475569"/>
        </w:rPr>
        <w:t>____ / ____ / ______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Trabalhador: </w:t>
      </w:r>
      <w:r>
        <w:rPr>
          <w:rFonts w:ascii="Arial" w:hAnsi="Arial"/>
          <w:color w:val="475569"/>
        </w:rPr>
        <w:t>____________________________________________  N.º ______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Local: </w:t>
      </w:r>
      <w:r>
        <w:rPr>
          <w:rFonts w:ascii="Arial" w:hAnsi="Arial"/>
          <w:color w:val="475569"/>
        </w:rPr>
        <w:t>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531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1701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Início pausa</w:t>
            </w:r>
          </w:p>
        </w:tc>
        <w:tc>
          <w:tcPr>
            <w:tcW w:type="dxa" w:w="1701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Fim pausa</w:t>
            </w:r>
          </w:p>
        </w:tc>
        <w:tc>
          <w:tcPr>
            <w:tcW w:type="dxa" w:w="1531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Saída</w:t>
            </w:r>
          </w:p>
        </w:tc>
        <w:tc>
          <w:tcPr>
            <w:tcW w:type="dxa" w:w="3288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Observações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53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32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rPr>
          <w:cantSplit/>
        </w:trPr>
        <w:tc>
          <w:tcPr>
            <w:tcW w:type="dxa" w:w="15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5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328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53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32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rPr>
          <w:cantSplit/>
        </w:trPr>
        <w:tc>
          <w:tcPr>
            <w:tcW w:type="dxa" w:w="15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5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328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53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32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rPr>
          <w:cantSplit/>
        </w:trPr>
        <w:tc>
          <w:tcPr>
            <w:tcW w:type="dxa" w:w="15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5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328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53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32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rPr>
          <w:cantSplit/>
        </w:trPr>
        <w:tc>
          <w:tcPr>
            <w:tcW w:type="dxa" w:w="15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531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3288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70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1531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  <w:tc>
          <w:tcPr>
            <w:tcW w:type="dxa" w:w="328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rial" w:hAnsi="Arial"/>
          <w:b/>
          <w:color w:val="13213C"/>
        </w:rPr>
        <w:t xml:space="preserve">Motivo da indisponibilidade: </w:t>
      </w:r>
      <w:r>
        <w:rPr>
          <w:rFonts w:ascii="Arial" w:hAnsi="Arial"/>
          <w:color w:val="475569"/>
        </w:rPr>
        <w:t>____________________________________________________________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Assinatura do trabalhador: </w:t>
      </w:r>
      <w:r>
        <w:rPr>
          <w:rFonts w:ascii="Arial" w:hAnsi="Arial"/>
          <w:color w:val="475569"/>
        </w:rPr>
        <w:t>____________________________________________________________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Conferido por: </w:t>
      </w:r>
      <w:r>
        <w:rPr>
          <w:rFonts w:ascii="Arial" w:hAnsi="Arial"/>
          <w:color w:val="475569"/>
        </w:rPr>
        <w:t>________________________________  Data ____ / ____ / ______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Referência da correção digital: </w:t>
      </w:r>
      <w:r>
        <w:rPr>
          <w:rFonts w:ascii="Arial" w:hAnsi="Arial"/>
          <w:color w:val="475569"/>
        </w:rPr>
        <w:t>____________________________________________________________</w:t>
      </w:r>
    </w:p>
    <w:p>
      <w:pPr>
        <w:pStyle w:val="Heading1"/>
        <w:keepNext/>
      </w:pPr>
      <w:r>
        <w:t>Anexo B Lista de verificação mensal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964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Feito</w:t>
            </w:r>
          </w:p>
        </w:tc>
        <w:tc>
          <w:tcPr>
            <w:tcW w:type="dxa" w:w="8787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Controlo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□</w:t>
            </w:r>
          </w:p>
        </w:tc>
        <w:tc>
          <w:tcPr>
            <w:tcW w:type="dxa" w:w="878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Confirmar que todos os dias têm entrada, saída e intervalos aplicáveis.</w:t>
            </w:r>
          </w:p>
        </w:tc>
      </w:tr>
      <w:tr>
        <w:trPr>
          <w:cantSplit/>
        </w:trPr>
        <w:tc>
          <w:tcPr>
            <w:tcW w:type="dxa" w:w="96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□</w:t>
            </w:r>
          </w:p>
        </w:tc>
        <w:tc>
          <w:tcPr>
            <w:tcW w:type="dxa" w:w="878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Rever dias incompletos, eventos manuais e anulações; documentar o resultado.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□</w:t>
            </w:r>
          </w:p>
        </w:tc>
        <w:tc>
          <w:tcPr>
            <w:tcW w:type="dxa" w:w="878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Concluir validações dos trabalhadores e revisões de gestão pendentes.</w:t>
            </w:r>
          </w:p>
        </w:tc>
      </w:tr>
      <w:tr>
        <w:trPr>
          <w:cantSplit/>
        </w:trPr>
        <w:tc>
          <w:tcPr>
            <w:tcW w:type="dxa" w:w="96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□</w:t>
            </w:r>
          </w:p>
        </w:tc>
        <w:tc>
          <w:tcPr>
            <w:tcW w:type="dxa" w:w="878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Conferir trabalho suplementar, fundamentos, compensações e descansos.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□</w:t>
            </w:r>
          </w:p>
        </w:tc>
        <w:tc>
          <w:tcPr>
            <w:tcW w:type="dxa" w:w="878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Exportar registos e relação de trabalho suplementar quando aplicável.</w:t>
            </w:r>
          </w:p>
        </w:tc>
      </w:tr>
      <w:tr>
        <w:trPr>
          <w:cantSplit/>
        </w:trPr>
        <w:tc>
          <w:tcPr>
            <w:tcW w:type="dxa" w:w="96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□</w:t>
            </w:r>
          </w:p>
        </w:tc>
        <w:tc>
          <w:tcPr>
            <w:tcW w:type="dxa" w:w="878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Criar arquivo JSON e manifesto SHA-256; guardar em locais separados.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□</w:t>
            </w:r>
          </w:p>
        </w:tc>
        <w:tc>
          <w:tcPr>
            <w:tcW w:type="dxa" w:w="878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Confirmar que o mapa de horário e as escalas afixadas continuam atuais.</w:t>
            </w:r>
          </w:p>
        </w:tc>
      </w:tr>
      <w:tr>
        <w:trPr>
          <w:cantSplit/>
        </w:trPr>
        <w:tc>
          <w:tcPr>
            <w:tcW w:type="dxa" w:w="964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□</w:t>
            </w:r>
          </w:p>
        </w:tc>
        <w:tc>
          <w:tcPr>
            <w:tcW w:type="dxa" w:w="8787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Registar incidentes, alterações de acesso e saída de trabalhadores.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rial" w:hAnsi="Arial"/>
          <w:b/>
          <w:color w:val="13213C"/>
        </w:rPr>
        <w:t xml:space="preserve">Mês: </w:t>
      </w:r>
      <w:r>
        <w:rPr>
          <w:rFonts w:ascii="Arial" w:hAnsi="Arial"/>
          <w:color w:val="475569"/>
        </w:rPr>
        <w:t>____________________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Responsável: </w:t>
      </w:r>
      <w:r>
        <w:rPr>
          <w:rFonts w:ascii="Arial" w:hAnsi="Arial"/>
          <w:color w:val="475569"/>
        </w:rPr>
        <w:t>____________________________________________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Data e assinatura: </w:t>
      </w:r>
      <w:r>
        <w:rPr>
          <w:rFonts w:ascii="Arial" w:hAnsi="Arial"/>
          <w:color w:val="475569"/>
        </w:rPr>
        <w:t>____________________________________________</w:t>
      </w:r>
    </w:p>
    <w:p>
      <w:r>
        <w:br w:type="page"/>
      </w:r>
    </w:p>
    <w:p>
      <w:pPr>
        <w:pStyle w:val="Heading1"/>
        <w:keepNext/>
      </w:pPr>
      <w:r>
        <w:t>Anexo C Fontes oficiais consultadas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082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5669"/>
            <w:shd w:fill="13213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Endereço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Código do Trabalho, Lei n.º 7/2009, versão consolidada</w:t>
            </w:r>
          </w:p>
        </w:tc>
        <w:tc>
          <w:tcPr>
            <w:tcW w:type="dxa" w:w="566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https://diariodarepublica.pt/dr/legislacao-consolidada/lei/2009-34546475</w:t>
            </w:r>
          </w:p>
        </w:tc>
      </w:tr>
      <w:tr>
        <w:trPr>
          <w:cantSplit/>
        </w:trPr>
        <w:tc>
          <w:tcPr>
            <w:tcW w:type="dxa" w:w="408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Código do Trabalho, artigo 202.º</w:t>
            </w:r>
          </w:p>
        </w:tc>
        <w:tc>
          <w:tcPr>
            <w:tcW w:type="dxa" w:w="5669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https://diariodarepublica.pt/dr/legislacao-consolidada/lei/2009-34546475-175393762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Lei n.º 58/2019, execução do RGPD em Portugal</w:t>
            </w:r>
          </w:p>
        </w:tc>
        <w:tc>
          <w:tcPr>
            <w:tcW w:type="dxa" w:w="566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https://diariodarepublica.pt/dr/detalhe/lei/58-2019-123815982</w:t>
            </w:r>
          </w:p>
        </w:tc>
      </w:tr>
      <w:tr>
        <w:trPr>
          <w:cantSplit/>
        </w:trPr>
        <w:tc>
          <w:tcPr>
            <w:tcW w:type="dxa" w:w="408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Regulamento Geral sobre a Proteção de Dados</w:t>
            </w:r>
          </w:p>
        </w:tc>
        <w:tc>
          <w:tcPr>
            <w:tcW w:type="dxa" w:w="5669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https://eur-lex.europa.eu/eli/reg/2016/679/pt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CNPD, biometria e assiduidade</w:t>
            </w:r>
          </w:p>
        </w:tc>
        <w:tc>
          <w:tcPr>
            <w:tcW w:type="dxa" w:w="566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https://www.cnpd.pt/organizacoes/areas-tematicas/biometria/</w:t>
            </w:r>
          </w:p>
        </w:tc>
      </w:tr>
      <w:tr>
        <w:trPr>
          <w:cantSplit/>
        </w:trPr>
        <w:tc>
          <w:tcPr>
            <w:tcW w:type="dxa" w:w="408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Jornal Oficial da Região Autónoma da Madeira, III Série</w:t>
            </w:r>
          </w:p>
        </w:tc>
        <w:tc>
          <w:tcPr>
            <w:tcW w:type="dxa" w:w="5669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6"/>
              </w:rPr>
              <w:t>https://joram.madeira.gov.pt/joram/3serie/</w:t>
            </w:r>
          </w:p>
        </w:tc>
      </w:tr>
    </w:tbl>
    <w:p>
      <w:pPr>
        <w:spacing w:after="0"/>
      </w:pPr>
    </w:p>
    <w:p>
      <w:r>
        <w:t>Consulta efetuada em 12 de setembro de 2026. As versões consolidadas facilitam a consulta, mas a validação jurídica deve considerar os atos publicados e o instrumento coletivo efetivamente aplicável.</w:t>
      </w:r>
    </w:p>
    <w:p>
      <w:pPr>
        <w:pStyle w:val="Heading1"/>
        <w:keepNext/>
      </w:pPr>
      <w:r>
        <w:t>Aprovação interna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Aprovado por: </w:t>
      </w:r>
      <w:r>
        <w:rPr>
          <w:rFonts w:ascii="Arial" w:hAnsi="Arial"/>
          <w:color w:val="475569"/>
        </w:rPr>
        <w:t>____________________________________________________________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Função: </w:t>
      </w:r>
      <w:r>
        <w:rPr>
          <w:rFonts w:ascii="Arial" w:hAnsi="Arial"/>
          <w:color w:val="475569"/>
        </w:rPr>
        <w:t>____________________________________________________________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Data: </w:t>
      </w:r>
      <w:r>
        <w:rPr>
          <w:rFonts w:ascii="Arial" w:hAnsi="Arial"/>
          <w:color w:val="475569"/>
        </w:rPr>
        <w:t>____ / ____ / ______</w:t>
      </w:r>
    </w:p>
    <w:p>
      <w:pPr>
        <w:spacing w:after="60"/>
      </w:pPr>
      <w:r>
        <w:rPr>
          <w:rFonts w:ascii="Arial" w:hAnsi="Arial"/>
          <w:b/>
          <w:color w:val="13213C"/>
        </w:rPr>
        <w:t xml:space="preserve">Próxima revisão: </w:t>
      </w:r>
      <w:r>
        <w:rPr>
          <w:rFonts w:ascii="Arial" w:hAnsi="Arial"/>
          <w:color w:val="475569"/>
        </w:rPr>
        <w:t>____ / ____ / 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7824"/>
      <w:gridCol w:w="2041"/>
    </w:tblGrid>
    <w:tr>
      <w:tc>
        <w:tcPr>
          <w:tcW w:type="dxa" w:w="4932"/>
        </w:tcPr>
        <w:p>
          <w:pPr>
            <w:spacing w:after="0"/>
          </w:pPr>
          <w:r>
            <w:rPr>
              <w:rFonts w:ascii="Arial" w:hAnsi="Arial"/>
              <w:color w:val="475569"/>
              <w:sz w:val="14"/>
            </w:rPr>
            <w:t>Uso interno  •  Versão 1.0  •  12/09/2026</w:t>
          </w:r>
        </w:p>
      </w:tc>
      <w:tc>
        <w:tcPr>
          <w:tcW w:type="dxa" w:w="4932"/>
        </w:tcPr>
        <w:p>
          <w:pPr>
            <w:spacing w:after="0"/>
            <w:jc w:val="right"/>
          </w:pPr>
          <w:r>
            <w:rPr>
              <w:rFonts w:ascii="Arial" w:hAnsi="Arial"/>
              <w:color w:val="475569"/>
              <w:sz w:val="14"/>
            </w:rPr>
            <w:t xml:space="preserve">Página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475569"/>
        <w:sz w:val="15"/>
      </w:rPr>
      <w:t>ATLANTIC HOLIDAY  |  REGISTO DE TEMPOS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3213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321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3213C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