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rFonts w:ascii="Montserrat" w:cs="Montserrat" w:eastAsia="Montserrat" w:hAnsi="Montserrat"/>
        </w:rPr>
      </w:pPr>
      <w:bookmarkStart w:colFirst="0" w:colLast="0" w:name="_281bta2x2pvz" w:id="0"/>
      <w:bookmarkEnd w:id="0"/>
      <w:r w:rsidDel="00000000" w:rsidR="00000000" w:rsidRPr="00000000">
        <w:rPr>
          <w:rFonts w:ascii="Montserrat" w:cs="Montserrat" w:eastAsia="Montserrat" w:hAnsi="Montserrat"/>
          <w:rtl w:val="0"/>
        </w:rPr>
        <w:t xml:space="preserve">Benchmark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rFonts w:ascii="Montserrat" w:cs="Montserrat" w:eastAsia="Montserrat" w:hAnsi="Montserrat"/>
          <w:sz w:val="36"/>
          <w:szCs w:val="36"/>
        </w:rPr>
      </w:pPr>
      <w:bookmarkStart w:colFirst="0" w:colLast="0" w:name="_2eqsgsfk71ch" w:id="1"/>
      <w:bookmarkEnd w:id="1"/>
      <w:r w:rsidDel="00000000" w:rsidR="00000000" w:rsidRPr="00000000">
        <w:rPr>
          <w:rFonts w:ascii="Montserrat" w:cs="Montserrat" w:eastAsia="Montserrat" w:hAnsi="Montserrat"/>
          <w:sz w:val="34"/>
          <w:szCs w:val="34"/>
          <w:rtl w:val="0"/>
        </w:rPr>
        <w:t xml:space="preserve">Introduction</w:t>
      </w:r>
      <w:r w:rsidDel="00000000" w:rsidR="00000000" w:rsidRPr="00000000">
        <w:rPr>
          <w:rtl w:val="0"/>
        </w:rPr>
      </w:r>
    </w:p>
    <w:p w:rsidR="00000000" w:rsidDel="00000000" w:rsidP="00000000" w:rsidRDefault="00000000" w:rsidRPr="00000000" w14:paraId="00000004">
      <w:pPr>
        <w:rPr>
          <w:rFonts w:ascii="Montserrat" w:cs="Montserrat" w:eastAsia="Montserrat" w:hAnsi="Montserrat"/>
        </w:rPr>
      </w:pPr>
      <w:r w:rsidDel="00000000" w:rsidR="00000000" w:rsidRPr="00000000">
        <w:rPr>
          <w:rFonts w:ascii="Montserrat" w:cs="Montserrat" w:eastAsia="Montserrat" w:hAnsi="Montserrat"/>
          <w:rtl w:val="0"/>
        </w:rPr>
        <w:t xml:space="preserve">Notre produit The Charge est un ensemble de modules émetteurs et récepteurs d’énergie sans fil. Entre autres, une fois équipé de The Charge, tout appareil muni d’une batterie sera rechargé sans les soucis des fils.</w:t>
      </w:r>
    </w:p>
    <w:p w:rsidR="00000000" w:rsidDel="00000000" w:rsidP="00000000" w:rsidRDefault="00000000" w:rsidRPr="00000000" w14:paraId="0000000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pStyle w:val="Heading3"/>
        <w:rPr>
          <w:rFonts w:ascii="Montserrat" w:cs="Montserrat" w:eastAsia="Montserrat" w:hAnsi="Montserrat"/>
          <w:sz w:val="30"/>
          <w:szCs w:val="30"/>
        </w:rPr>
      </w:pPr>
      <w:bookmarkStart w:colFirst="0" w:colLast="0" w:name="_ux1kq5cizhar" w:id="2"/>
      <w:bookmarkEnd w:id="2"/>
      <w:r w:rsidDel="00000000" w:rsidR="00000000" w:rsidRPr="00000000">
        <w:rPr>
          <w:rFonts w:ascii="Montserrat" w:cs="Montserrat" w:eastAsia="Montserrat" w:hAnsi="Montserrat"/>
          <w:sz w:val="30"/>
          <w:szCs w:val="30"/>
          <w:rtl w:val="0"/>
        </w:rPr>
        <w:t xml:space="preserve">Les concurrents</w:t>
      </w:r>
    </w:p>
    <w:p w:rsidR="00000000" w:rsidDel="00000000" w:rsidP="00000000" w:rsidRDefault="00000000" w:rsidRPr="00000000" w14:paraId="00000007">
      <w:pPr>
        <w:rPr>
          <w:rFonts w:ascii="Montserrat" w:cs="Montserrat" w:eastAsia="Montserrat" w:hAnsi="Montserrat"/>
        </w:rPr>
      </w:pPr>
      <w:r w:rsidDel="00000000" w:rsidR="00000000" w:rsidRPr="00000000">
        <w:rPr>
          <w:rFonts w:ascii="Montserrat" w:cs="Montserrat" w:eastAsia="Montserrat" w:hAnsi="Montserrat"/>
          <w:rtl w:val="0"/>
        </w:rPr>
        <w:t xml:space="preserve">Comme tous les dispositifs, The Charge dispose de concurrents dans son domaine de prédilection. Les principaux sont Energous ainsi que les fabricants de chargeur à induction.</w:t>
      </w:r>
    </w:p>
    <w:p w:rsidR="00000000" w:rsidDel="00000000" w:rsidP="00000000" w:rsidRDefault="00000000" w:rsidRPr="00000000" w14:paraId="0000000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pStyle w:val="Heading3"/>
        <w:rPr>
          <w:rFonts w:ascii="Montserrat" w:cs="Montserrat" w:eastAsia="Montserrat" w:hAnsi="Montserrat"/>
          <w:sz w:val="30"/>
          <w:szCs w:val="30"/>
        </w:rPr>
      </w:pPr>
      <w:bookmarkStart w:colFirst="0" w:colLast="0" w:name="_be6z2myfxnc2" w:id="3"/>
      <w:bookmarkEnd w:id="3"/>
      <w:r w:rsidDel="00000000" w:rsidR="00000000" w:rsidRPr="00000000">
        <w:rPr>
          <w:rFonts w:ascii="Montserrat" w:cs="Montserrat" w:eastAsia="Montserrat" w:hAnsi="Montserrat"/>
          <w:sz w:val="30"/>
          <w:szCs w:val="30"/>
          <w:rtl w:val="0"/>
        </w:rPr>
        <w:t xml:space="preserve">Nos avantages</w:t>
      </w:r>
    </w:p>
    <w:p w:rsidR="00000000" w:rsidDel="00000000" w:rsidP="00000000" w:rsidRDefault="00000000" w:rsidRPr="00000000" w14:paraId="0000000A">
      <w:pPr>
        <w:rPr>
          <w:rFonts w:ascii="Montserrat" w:cs="Montserrat" w:eastAsia="Montserrat" w:hAnsi="Montserrat"/>
        </w:rPr>
      </w:pPr>
      <w:r w:rsidDel="00000000" w:rsidR="00000000" w:rsidRPr="00000000">
        <w:rPr>
          <w:rFonts w:ascii="Montserrat" w:cs="Montserrat" w:eastAsia="Montserrat" w:hAnsi="Montserrat"/>
          <w:rtl w:val="0"/>
        </w:rPr>
        <w:t xml:space="preserve">Nous disposons d’une charge sans fil dans tous les lieux publics (The Charge UNIV). Également, l’offre The Charge HOME permet de se charger chez soi.</w:t>
      </w:r>
    </w:p>
    <w:p w:rsidR="00000000" w:rsidDel="00000000" w:rsidP="00000000" w:rsidRDefault="00000000" w:rsidRPr="00000000" w14:paraId="0000000B">
      <w:pPr>
        <w:rPr>
          <w:rFonts w:ascii="Montserrat" w:cs="Montserrat" w:eastAsia="Montserrat" w:hAnsi="Montserrat"/>
        </w:rPr>
      </w:pPr>
      <w:r w:rsidDel="00000000" w:rsidR="00000000" w:rsidRPr="00000000">
        <w:rPr>
          <w:rFonts w:ascii="Montserrat" w:cs="Montserrat" w:eastAsia="Montserrat" w:hAnsi="Montserrat"/>
          <w:rtl w:val="0"/>
        </w:rPr>
        <w:t xml:space="preserve">Avantage sur induction, portée de charge très grande.</w:t>
      </w:r>
    </w:p>
    <w:p w:rsidR="00000000" w:rsidDel="00000000" w:rsidP="00000000" w:rsidRDefault="00000000" w:rsidRPr="00000000" w14:paraId="0000000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pStyle w:val="Heading3"/>
        <w:rPr>
          <w:rFonts w:ascii="Montserrat" w:cs="Montserrat" w:eastAsia="Montserrat" w:hAnsi="Montserrat"/>
          <w:sz w:val="30"/>
          <w:szCs w:val="30"/>
        </w:rPr>
      </w:pPr>
      <w:bookmarkStart w:colFirst="0" w:colLast="0" w:name="_t93wvri7jkdk" w:id="4"/>
      <w:bookmarkEnd w:id="4"/>
      <w:r w:rsidDel="00000000" w:rsidR="00000000" w:rsidRPr="00000000">
        <w:rPr>
          <w:rFonts w:ascii="Montserrat" w:cs="Montserrat" w:eastAsia="Montserrat" w:hAnsi="Montserrat"/>
          <w:sz w:val="30"/>
          <w:szCs w:val="30"/>
          <w:rtl w:val="0"/>
        </w:rPr>
        <w:t xml:space="preserve">Nos inconvénients</w:t>
      </w:r>
    </w:p>
    <w:p w:rsidR="00000000" w:rsidDel="00000000" w:rsidP="00000000" w:rsidRDefault="00000000" w:rsidRPr="00000000" w14:paraId="0000000E">
      <w:pPr>
        <w:rPr>
          <w:rFonts w:ascii="Montserrat" w:cs="Montserrat" w:eastAsia="Montserrat" w:hAnsi="Montserrat"/>
        </w:rPr>
      </w:pPr>
      <w:r w:rsidDel="00000000" w:rsidR="00000000" w:rsidRPr="00000000">
        <w:rPr>
          <w:rFonts w:ascii="Montserrat" w:cs="Montserrat" w:eastAsia="Montserrat" w:hAnsi="Montserrat"/>
          <w:rtl w:val="0"/>
        </w:rPr>
        <w:t xml:space="preserve">La technologie sans fil de Energous ressemble à 80% à notre offre The Charge HOME.</w:t>
      </w:r>
    </w:p>
    <w:p w:rsidR="00000000" w:rsidDel="00000000" w:rsidP="00000000" w:rsidRDefault="00000000" w:rsidRPr="00000000" w14:paraId="0000000F">
      <w:pPr>
        <w:rPr>
          <w:rFonts w:ascii="Montserrat" w:cs="Montserrat" w:eastAsia="Montserrat" w:hAnsi="Montserrat"/>
        </w:rPr>
      </w:pPr>
      <w:r w:rsidDel="00000000" w:rsidR="00000000" w:rsidRPr="00000000">
        <w:rPr>
          <w:rFonts w:ascii="Montserrat" w:cs="Montserrat" w:eastAsia="Montserrat" w:hAnsi="Montserrat"/>
          <w:rtl w:val="0"/>
        </w:rPr>
        <w:t xml:space="preserve">La technologie par induction est déjà très répandue dans le monde, également peu coûteuse mais pose certains problèmes nous arrangeant.</w:t>
      </w:r>
    </w:p>
    <w:p w:rsidR="00000000" w:rsidDel="00000000" w:rsidP="00000000" w:rsidRDefault="00000000" w:rsidRPr="00000000" w14:paraId="0000001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1">
      <w:pPr>
        <w:pStyle w:val="Heading2"/>
        <w:rPr>
          <w:rFonts w:ascii="Montserrat" w:cs="Montserrat" w:eastAsia="Montserrat" w:hAnsi="Montserrat"/>
          <w:sz w:val="34"/>
          <w:szCs w:val="34"/>
        </w:rPr>
      </w:pPr>
      <w:bookmarkStart w:colFirst="0" w:colLast="0" w:name="_59c484dzipcf" w:id="5"/>
      <w:bookmarkEnd w:id="5"/>
      <w:r w:rsidDel="00000000" w:rsidR="00000000" w:rsidRPr="00000000">
        <w:rPr>
          <w:rFonts w:ascii="Montserrat" w:cs="Montserrat" w:eastAsia="Montserrat" w:hAnsi="Montserrat"/>
          <w:sz w:val="34"/>
          <w:szCs w:val="34"/>
          <w:rtl w:val="0"/>
        </w:rPr>
        <w:t xml:space="preserve">Conclusion</w:t>
      </w:r>
    </w:p>
    <w:p w:rsidR="00000000" w:rsidDel="00000000" w:rsidP="00000000" w:rsidRDefault="00000000" w:rsidRPr="00000000" w14:paraId="00000012">
      <w:pPr>
        <w:rPr/>
      </w:pPr>
      <w:r w:rsidDel="00000000" w:rsidR="00000000" w:rsidRPr="00000000">
        <w:rPr>
          <w:rFonts w:ascii="Montserrat" w:cs="Montserrat" w:eastAsia="Montserrat" w:hAnsi="Montserrat"/>
          <w:rtl w:val="0"/>
        </w:rPr>
        <w:t xml:space="preserve">Pour conclure sur ce benchmark, analyse concurrentielle, il faut pour nos produits complétés les inconvénients des chargeurs à inductions et offrir une gamme plus large pour profiter d’un public plus grand.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1284450</wp:posOffset>
            </wp:positionH>
            <wp:positionV relativeFrom="paragraph">
              <wp:posOffset>2265980</wp:posOffset>
            </wp:positionV>
            <wp:extent cx="3162243" cy="547688"/>
            <wp:effectExtent b="0" l="0" r="0" t="0"/>
            <wp:wrapNone/>
            <wp:docPr id="1" name="image1.png"/>
            <a:graphic>
              <a:graphicData uri="http://schemas.openxmlformats.org/drawingml/2006/picture">
                <pic:pic>
                  <pic:nvPicPr>
                    <pic:cNvPr id="0" name="image1.png"/>
                    <pic:cNvPicPr preferRelativeResize="0"/>
                  </pic:nvPicPr>
                  <pic:blipFill>
                    <a:blip r:embed="rId6"/>
                    <a:srcRect b="41206" l="1600" r="1400" t="42080"/>
                    <a:stretch>
                      <a:fillRect/>
                    </a:stretch>
                  </pic:blipFill>
                  <pic:spPr>
                    <a:xfrm>
                      <a:off x="0" y="0"/>
                      <a:ext cx="3162243" cy="547688"/>
                    </a:xfrm>
                    <a:prstGeom prst="rect"/>
                    <a:ln/>
                  </pic:spPr>
                </pic:pic>
              </a:graphicData>
            </a:graphic>
          </wp:anchor>
        </w:draw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