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QGIS Analysis: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Modified Zip Code Tabulation Area (MODZCTA)</w:t>
        </w:r>
      </w:hyperlink>
      <w:r w:rsidDel="00000000" w:rsidR="00000000" w:rsidRPr="00000000">
        <w:rPr>
          <w:rtl w:val="0"/>
        </w:rPr>
        <w:t xml:space="preserve"> .shp file to use as a base map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 “hvi_claims_sandy_left_acs.csv” and “hvi_claims_ida_left_acs.csv”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tabular joins by zip code with copies of the base map for each csv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symbology to “Graduated” and use the “pct_change1412” column for the Sandy Claims layer.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a diverging color ramp since there is a zip code with a negative percent change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values near 0 are represented by a light/ near white color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the symbology to “Graduated” and use the “pct_change2321” column for the IDa Claims layer.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a diverging color ramp since there are zip codes with a negative percent change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sure values near 0 are represented by a light/ near white color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“intersection.csv”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Perform a tabular join by zip code with a copy of the base map for this csv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a new field “claimdiff” by using the formula: intersection_ida_claims - intersection_sandy_claims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the symbology to “Graduated” and use the “claimdiff” column for the Intersection layer.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 a diverging color ramp since there are zip codes with a negative percent change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sure values near 0 are represented by a light/ near white color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ityofnewyork.us/Health/Modified-Zip-Code-Tabulation-Areas-MODZCTA-/pri4-if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