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119D45AD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proofErr w:type="spellStart"/>
      <w:r w:rsidR="00641671">
        <w:rPr>
          <w:rFonts w:ascii="Courier New" w:eastAsiaTheme="minorEastAsia" w:hAnsi="Courier New" w:cstheme="minorBidi"/>
          <w:sz w:val="22"/>
          <w:lang w:val="en-GB" w:eastAsia="en-US"/>
        </w:rPr>
        <w:t>drilling_advisor</w:t>
      </w:r>
      <w:proofErr w:type="spell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22EB252F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641671">
        <w:rPr>
          <w:rFonts w:ascii="Courier New" w:eastAsiaTheme="minorEastAsia" w:hAnsi="Courier New" w:cstheme="minorBidi"/>
          <w:sz w:val="22"/>
          <w:lang w:val="en-GB" w:eastAsia="en-US"/>
        </w:rPr>
        <w:t>0.0.1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01BD6B84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641671">
        <w:rPr>
          <w:rFonts w:ascii="Courier New" w:eastAsiaTheme="minorEastAsia" w:hAnsi="Courier New" w:cstheme="minorBidi"/>
          <w:sz w:val="22"/>
          <w:lang w:val="en-US" w:eastAsia="en-US"/>
        </w:rPr>
        <w:t>DRAFT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</w:t>
      </w:r>
      <w:proofErr w:type="spellStart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AgriCircle</w:t>
      </w:r>
      <w:proofErr w:type="spell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 xml:space="preserve">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53513AB8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proofErr w:type="spellStart"/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641671">
        <w:rPr>
          <w:rStyle w:val="h1"/>
          <w:b/>
          <w:bCs/>
          <w:color w:val="000000"/>
          <w:lang w:val="en-GB"/>
        </w:rPr>
        <w:t>drilling_advisor</w:t>
      </w:r>
      <w:proofErr w:type="spellEnd"/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04FB7169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</w:t>
      </w:r>
      <w:r w:rsidR="005D0FE4">
        <w:rPr>
          <w:lang w:val="en-GB"/>
        </w:rPr>
        <w:t>the ATLAS Equipment Centre</w:t>
      </w:r>
      <w:r w:rsidR="00E95C18" w:rsidRPr="00E95C18">
        <w:rPr>
          <w:lang w:val="en-GB"/>
        </w:rPr>
        <w:t>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57DABFB2" w14:textId="70BED3DF" w:rsidR="00641671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102581219" w:history="1">
        <w:r w:rsidR="00641671" w:rsidRPr="002D3E92">
          <w:rPr>
            <w:rStyle w:val="Hyperlink"/>
            <w:rFonts w:cs="Courier New"/>
            <w:noProof/>
            <w:lang w:val="en-GB"/>
          </w:rPr>
          <w:t>1</w:t>
        </w:r>
        <w:r w:rsidR="00641671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641671" w:rsidRPr="002D3E92">
          <w:rPr>
            <w:rStyle w:val="Hyperlink"/>
            <w:rFonts w:cs="Courier New"/>
            <w:noProof/>
            <w:lang w:val="en-GB"/>
          </w:rPr>
          <w:t>Introduction</w:t>
        </w:r>
        <w:r w:rsidR="00641671">
          <w:rPr>
            <w:noProof/>
            <w:webHidden/>
          </w:rPr>
          <w:tab/>
        </w:r>
        <w:r w:rsidR="00641671">
          <w:rPr>
            <w:noProof/>
            <w:webHidden/>
          </w:rPr>
          <w:fldChar w:fldCharType="begin"/>
        </w:r>
        <w:r w:rsidR="00641671">
          <w:rPr>
            <w:noProof/>
            <w:webHidden/>
          </w:rPr>
          <w:instrText xml:space="preserve"> PAGEREF _Toc102581219 \h </w:instrText>
        </w:r>
        <w:r w:rsidR="00641671">
          <w:rPr>
            <w:noProof/>
            <w:webHidden/>
          </w:rPr>
        </w:r>
        <w:r w:rsidR="00641671">
          <w:rPr>
            <w:noProof/>
            <w:webHidden/>
          </w:rPr>
          <w:fldChar w:fldCharType="separate"/>
        </w:r>
        <w:r w:rsidR="00641671">
          <w:rPr>
            <w:noProof/>
            <w:webHidden/>
          </w:rPr>
          <w:t>3</w:t>
        </w:r>
        <w:r w:rsidR="00641671">
          <w:rPr>
            <w:noProof/>
            <w:webHidden/>
          </w:rPr>
          <w:fldChar w:fldCharType="end"/>
        </w:r>
      </w:hyperlink>
    </w:p>
    <w:p w14:paraId="7DF8EF92" w14:textId="5E4BE2DD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20" w:history="1">
        <w:r w:rsidRPr="002D3E92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0BA10F" w14:textId="1CBFFB98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21" w:history="1">
        <w:r w:rsidRPr="002D3E92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Fertilisation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2EA161" w14:textId="01D9CE00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2" w:history="1">
        <w:r w:rsidRPr="002D3E92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NPK Fertilisation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1D36A" w14:textId="0D7C54B3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23" w:history="1">
        <w:r w:rsidRPr="002D3E92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Advisor Service Template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4866CC" w14:textId="74C13F5D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4" w:history="1">
        <w:r w:rsidRPr="002D3E92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Field Registration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C590E" w14:textId="2A9AD764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5" w:history="1">
        <w:r w:rsidRPr="002D3E92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Register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1149B9" w14:textId="374909E6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6" w:history="1">
        <w:r w:rsidRPr="002D3E92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Get field registration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61DAA" w14:textId="36D2D711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7" w:history="1">
        <w:r w:rsidRPr="002D3E92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Unregister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ECEC55" w14:textId="184FC8B8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8" w:history="1">
        <w:r w:rsidRPr="002D3E92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Advice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3502D" w14:textId="45D1CE02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29" w:history="1">
        <w:r w:rsidRPr="002D3E92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772EA" w14:textId="13DEABB5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0" w:history="1">
        <w:r w:rsidRPr="002D3E92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Get Advice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20470F" w14:textId="578A998B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1" w:history="1">
        <w:r w:rsidRPr="002D3E92">
          <w:rPr>
            <w:rStyle w:val="Hyperlink"/>
            <w:noProof/>
            <w:lang w:val="en-GB"/>
          </w:rPr>
          <w:t>4.2.3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52FDCD" w14:textId="1684C6A3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2" w:history="1">
        <w:r w:rsidRPr="002D3E92">
          <w:rPr>
            <w:rStyle w:val="Hyperlink"/>
            <w:noProof/>
            <w:lang w:val="en-GB"/>
          </w:rPr>
          <w:t>4.2.4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DF807B" w14:textId="4BDB9D14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33" w:history="1">
        <w:r w:rsidRPr="002D3E92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50D4D0" w14:textId="7ECD5F2C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4" w:history="1">
        <w:r w:rsidRPr="002D3E92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00F924" w14:textId="195E2418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35" w:history="1">
        <w:r w:rsidRPr="002D3E92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62C227" w14:textId="5A0C959B" w:rsidR="00641671" w:rsidRDefault="00641671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2581236" w:history="1">
        <w:r w:rsidRPr="002D3E92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BF3779" w14:textId="1898E694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7" w:history="1">
        <w:r w:rsidRPr="002D3E92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Fertilisation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BFE69D" w14:textId="6B6B19B0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8" w:history="1">
        <w:r w:rsidRPr="002D3E92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Field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FEDDB8" w14:textId="438611CD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39" w:history="1">
        <w:r w:rsidRPr="002D3E92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C96A9" w14:textId="4FB11137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40" w:history="1">
        <w:r w:rsidRPr="002D3E92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7CC1C9" w14:textId="12393977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41" w:history="1">
        <w:r w:rsidRPr="002D3E92">
          <w:rPr>
            <w:rStyle w:val="Hyperlink"/>
            <w:noProof/>
            <w:lang w:val="en-GB"/>
          </w:rPr>
          <w:t>7.3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Advice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23278B" w14:textId="6E350514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42" w:history="1">
        <w:r w:rsidRPr="002D3E92">
          <w:rPr>
            <w:rStyle w:val="Hyperlink"/>
            <w:noProof/>
            <w:lang w:val="en-GB"/>
          </w:rPr>
          <w:t>7.3.1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B0CC26" w14:textId="296A3D1F" w:rsidR="00641671" w:rsidRDefault="00641671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43" w:history="1">
        <w:r w:rsidRPr="002D3E92">
          <w:rPr>
            <w:rStyle w:val="Hyperlink"/>
            <w:noProof/>
            <w:lang w:val="en-GB"/>
          </w:rPr>
          <w:t>7.3.2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94A0AE" w14:textId="32F4D84B" w:rsidR="00641671" w:rsidRDefault="00641671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2581244" w:history="1">
        <w:r w:rsidRPr="002D3E92">
          <w:rPr>
            <w:rStyle w:val="Hyperlink"/>
            <w:noProof/>
            <w:lang w:val="en-GB"/>
          </w:rPr>
          <w:t>7.4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2D3E92">
          <w:rPr>
            <w:rStyle w:val="Hyperlink"/>
            <w:noProof/>
            <w:lang w:val="en-GB"/>
          </w:rPr>
          <w:t>General Comments on Notifications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_Toc102581244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EC159F" w14:textId="6BE4E2A3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2581219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704CBA90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</w:t>
      </w:r>
      <w:r w:rsidR="00183BC5">
        <w:rPr>
          <w:lang w:val="en-GB"/>
        </w:rPr>
        <w:t>the ATLAS Equipment Centre</w:t>
      </w:r>
      <w:r w:rsidR="004F5301" w:rsidRPr="00E95C18">
        <w:rPr>
          <w:lang w:val="en-GB"/>
        </w:rPr>
        <w:t xml:space="preserve">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2F0D7527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102581220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31CE7EFC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BB84983" w14:textId="5D9E5B22" w:rsidR="00986656" w:rsidRPr="00E95C18" w:rsidRDefault="00A21507" w:rsidP="0062634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7D45676D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</w:t>
      </w:r>
      <w:r w:rsidR="00D1697E">
        <w:rPr>
          <w:lang w:val="en-GB"/>
        </w:rPr>
        <w:t>s</w:t>
      </w:r>
      <w:r w:rsidRPr="00E95C18">
        <w:rPr>
          <w:lang w:val="en-GB"/>
        </w:rPr>
        <w:t xml:space="preserve">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>"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refer to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D1697E">
        <w:rPr>
          <w:lang w:val="en-GB"/>
        </w:rPr>
        <w:t xml:space="preserve"> and </w:t>
      </w:r>
      <w:r w:rsidR="00D1697E" w:rsidRPr="00E95C18">
        <w:rPr>
          <w:lang w:val="en-GB"/>
        </w:rPr>
        <w:t>"</w:t>
      </w:r>
      <w:r w:rsidR="00D1697E">
        <w:rPr>
          <w:lang w:val="en-GB"/>
        </w:rPr>
        <w:t>advisor service</w:t>
      </w:r>
      <w:r w:rsidR="00D1697E" w:rsidRPr="00E95C18">
        <w:rPr>
          <w:lang w:val="en-GB"/>
        </w:rPr>
        <w:t>"</w:t>
      </w:r>
      <w:r w:rsidRPr="00E95C18">
        <w:rPr>
          <w:lang w:val="en-GB"/>
        </w:rPr>
        <w:t xml:space="preserve"> </w:t>
      </w:r>
      <w:r w:rsidR="00D1697E">
        <w:rPr>
          <w:lang w:val="en-GB"/>
        </w:rPr>
        <w:t>are</w:t>
      </w:r>
      <w:r w:rsidRPr="00E95C18">
        <w:rPr>
          <w:lang w:val="en-GB"/>
        </w:rPr>
        <w:t xml:space="preserve">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102581221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1BAC7C5F" w:rsidR="00757014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07A7536F" w14:textId="39387588" w:rsidR="00A021A4" w:rsidRDefault="00A021A4" w:rsidP="00100C77">
      <w:pPr>
        <w:pStyle w:val="PlainText"/>
        <w:ind w:right="1127"/>
        <w:rPr>
          <w:lang w:val="en-GB"/>
        </w:rPr>
      </w:pPr>
    </w:p>
    <w:p w14:paraId="402F5201" w14:textId="0940ECA8" w:rsidR="00C411DF" w:rsidRDefault="00A021A4" w:rsidP="00B94F5A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typical use case scenarios with a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>
        <w:rPr>
          <w:lang w:val="en-GB"/>
        </w:rPr>
        <w:t xml:space="preserve"> service typically</w:t>
      </w:r>
      <w:r w:rsidR="003F27AA">
        <w:rPr>
          <w:lang w:val="en-GB"/>
        </w:rPr>
        <w:t xml:space="preserve"> an FMIS that orchestrates operations with a </w:t>
      </w:r>
      <w:proofErr w:type="spellStart"/>
      <w:r w:rsidR="003F27AA">
        <w:rPr>
          <w:lang w:val="en-GB"/>
        </w:rPr>
        <w:t>field_data</w:t>
      </w:r>
      <w:proofErr w:type="spellEnd"/>
      <w:r w:rsidR="003F27AA">
        <w:rPr>
          <w:lang w:val="en-GB"/>
        </w:rPr>
        <w:t xml:space="preserve"> </w:t>
      </w:r>
      <w:r>
        <w:rPr>
          <w:lang w:val="en-GB"/>
        </w:rPr>
        <w:t xml:space="preserve">and the ATLAS Equipment Centre as can be seen </w:t>
      </w:r>
      <w:proofErr w:type="spellStart"/>
      <w:r>
        <w:rPr>
          <w:lang w:val="en-GB"/>
        </w:rPr>
        <w:lastRenderedPageBreak/>
        <w:t>belo</w:t>
      </w:r>
      <w:proofErr w:type="spellEnd"/>
      <w:r w:rsidR="00D4430B" w:rsidRPr="00D4430B">
        <w:rPr>
          <w:noProof/>
        </w:rPr>
        <w:drawing>
          <wp:inline distT="0" distB="0" distL="0" distR="0" wp14:anchorId="3D2ADB70" wp14:editId="133A6FB2">
            <wp:extent cx="5758815" cy="420243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5643" w14:textId="77777777" w:rsidR="00B94F5A" w:rsidRPr="00E95C18" w:rsidRDefault="00B94F5A" w:rsidP="00B94F5A">
      <w:pPr>
        <w:pStyle w:val="PlainText"/>
        <w:ind w:right="1127"/>
        <w:rPr>
          <w:lang w:val="en-GB"/>
        </w:rPr>
      </w:pPr>
    </w:p>
    <w:p w14:paraId="2D981D51" w14:textId="10931F1F" w:rsidR="009D4BC6" w:rsidRPr="00E95C18" w:rsidRDefault="00076090" w:rsidP="00100C77">
      <w:pPr>
        <w:pStyle w:val="Heading2"/>
        <w:ind w:right="1127"/>
        <w:rPr>
          <w:lang w:val="en-GB"/>
        </w:rPr>
      </w:pPr>
      <w:r>
        <w:rPr>
          <w:lang w:val="en-GB"/>
        </w:rPr>
        <w:t>NEED EXAMPLE</w:t>
      </w:r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076090" w:rsidRDefault="001445B8" w:rsidP="00100C77">
      <w:pPr>
        <w:pStyle w:val="PlainText"/>
        <w:ind w:right="1127"/>
        <w:rPr>
          <w:strike/>
          <w:color w:val="FF0000"/>
          <w:lang w:val="en-GB"/>
        </w:rPr>
      </w:pPr>
      <w:r w:rsidRPr="00076090">
        <w:rPr>
          <w:strike/>
          <w:color w:val="FF0000"/>
          <w:lang w:val="en-GB"/>
        </w:rPr>
        <w:t>Most crops have nitrogen</w:t>
      </w:r>
      <w:r w:rsidR="001D670D" w:rsidRPr="00076090">
        <w:rPr>
          <w:strike/>
          <w:color w:val="FF0000"/>
          <w:lang w:val="en-GB"/>
        </w:rPr>
        <w:t xml:space="preserve"> (N)</w:t>
      </w:r>
      <w:r w:rsidRPr="00076090">
        <w:rPr>
          <w:strike/>
          <w:color w:val="FF0000"/>
          <w:lang w:val="en-GB"/>
        </w:rPr>
        <w:t>, phosphorous</w:t>
      </w:r>
      <w:r w:rsidR="001D670D" w:rsidRPr="00076090">
        <w:rPr>
          <w:strike/>
          <w:color w:val="FF0000"/>
          <w:lang w:val="en-GB"/>
        </w:rPr>
        <w:t xml:space="preserve"> (P)</w:t>
      </w:r>
      <w:r w:rsidRPr="00076090">
        <w:rPr>
          <w:strike/>
          <w:color w:val="FF0000"/>
          <w:lang w:val="en-GB"/>
        </w:rPr>
        <w:t xml:space="preserve"> and potassium</w:t>
      </w:r>
      <w:r w:rsidR="001D670D" w:rsidRPr="00076090">
        <w:rPr>
          <w:strike/>
          <w:color w:val="FF0000"/>
          <w:lang w:val="en-GB"/>
        </w:rPr>
        <w:t xml:space="preserve"> (K)</w:t>
      </w:r>
      <w:r w:rsidRPr="00076090">
        <w:rPr>
          <w:strike/>
          <w:color w:val="FF0000"/>
          <w:lang w:val="en-GB"/>
        </w:rPr>
        <w:t xml:space="preserve"> </w:t>
      </w:r>
      <w:r w:rsidR="00384133" w:rsidRPr="00076090">
        <w:rPr>
          <w:strike/>
          <w:color w:val="FF0000"/>
          <w:lang w:val="en-GB"/>
        </w:rPr>
        <w:t>nutrient requirements.</w:t>
      </w:r>
      <w:r w:rsidR="006F7FC8" w:rsidRPr="00076090">
        <w:rPr>
          <w:strike/>
          <w:color w:val="FF0000"/>
          <w:lang w:val="en-GB"/>
        </w:rPr>
        <w:t xml:space="preserve"> </w:t>
      </w:r>
    </w:p>
    <w:p w14:paraId="54E73210" w14:textId="49A919E5" w:rsidR="00384133" w:rsidRPr="00076090" w:rsidRDefault="00384133" w:rsidP="00100C77">
      <w:pPr>
        <w:pStyle w:val="PlainText"/>
        <w:ind w:right="1127"/>
        <w:rPr>
          <w:strike/>
          <w:color w:val="FF0000"/>
          <w:lang w:val="en-GB"/>
        </w:rPr>
      </w:pPr>
    </w:p>
    <w:p w14:paraId="164EBF10" w14:textId="294F03C3" w:rsidR="009D445E" w:rsidRPr="00076090" w:rsidRDefault="009D445E" w:rsidP="009D445E">
      <w:pPr>
        <w:pStyle w:val="PlainText"/>
        <w:ind w:right="1127"/>
        <w:rPr>
          <w:strike/>
          <w:color w:val="FF0000"/>
          <w:lang w:val="en-GB"/>
        </w:rPr>
      </w:pPr>
      <w:r w:rsidRPr="00076090">
        <w:rPr>
          <w:strike/>
          <w:color w:val="FF0000"/>
          <w:lang w:val="en-GB"/>
        </w:rPr>
        <w:t>A fertili</w:t>
      </w:r>
      <w:r w:rsidR="00E95C18" w:rsidRPr="00076090">
        <w:rPr>
          <w:strike/>
          <w:color w:val="FF0000"/>
          <w:lang w:val="en-GB"/>
        </w:rPr>
        <w:t>s</w:t>
      </w:r>
      <w:r w:rsidRPr="00076090">
        <w:rPr>
          <w:strike/>
          <w:color w:val="FF0000"/>
          <w:lang w:val="en-GB"/>
        </w:rPr>
        <w:t xml:space="preserve">ation service can be designed </w:t>
      </w:r>
      <w:proofErr w:type="gramStart"/>
      <w:r w:rsidRPr="00076090">
        <w:rPr>
          <w:strike/>
          <w:color w:val="FF0000"/>
          <w:lang w:val="en-GB"/>
        </w:rPr>
        <w:t>so as to</w:t>
      </w:r>
      <w:proofErr w:type="gramEnd"/>
      <w:r w:rsidRPr="00076090">
        <w:rPr>
          <w:strike/>
          <w:color w:val="FF0000"/>
          <w:lang w:val="en-GB"/>
        </w:rPr>
        <w:t xml:space="preserve"> </w:t>
      </w:r>
      <w:r w:rsidR="00494B94" w:rsidRPr="00076090">
        <w:rPr>
          <w:strike/>
          <w:color w:val="FF0000"/>
          <w:lang w:val="en-GB"/>
        </w:rPr>
        <w:t xml:space="preserve">focus on NPK nutrients and </w:t>
      </w:r>
      <w:r w:rsidRPr="00076090">
        <w:rPr>
          <w:strike/>
          <w:color w:val="FF0000"/>
          <w:lang w:val="en-GB"/>
        </w:rPr>
        <w:t>privilege the use of organic over chemical fertili</w:t>
      </w:r>
      <w:r w:rsidR="00E95C18" w:rsidRPr="00076090">
        <w:rPr>
          <w:strike/>
          <w:color w:val="FF0000"/>
          <w:lang w:val="en-GB"/>
        </w:rPr>
        <w:t>s</w:t>
      </w:r>
      <w:r w:rsidRPr="00076090">
        <w:rPr>
          <w:strike/>
          <w:color w:val="FF0000"/>
          <w:lang w:val="en-GB"/>
        </w:rPr>
        <w:t>ers.</w:t>
      </w:r>
    </w:p>
    <w:p w14:paraId="775347F8" w14:textId="66048BCC" w:rsidR="00384133" w:rsidRPr="00076090" w:rsidRDefault="00384133" w:rsidP="00100C77">
      <w:pPr>
        <w:pStyle w:val="PlainText"/>
        <w:ind w:right="1127"/>
        <w:rPr>
          <w:strike/>
          <w:color w:val="FF0000"/>
          <w:lang w:val="en-GB"/>
        </w:rPr>
      </w:pPr>
    </w:p>
    <w:p w14:paraId="5D5CBC1A" w14:textId="641229C0" w:rsidR="00384133" w:rsidRPr="00076090" w:rsidRDefault="007A0042" w:rsidP="00100C77">
      <w:pPr>
        <w:pStyle w:val="PlainText"/>
        <w:ind w:right="1127"/>
        <w:rPr>
          <w:strike/>
          <w:color w:val="FF0000"/>
          <w:lang w:val="en-GB"/>
        </w:rPr>
      </w:pPr>
      <w:r w:rsidRPr="00076090">
        <w:rPr>
          <w:strike/>
          <w:color w:val="FF0000"/>
          <w:lang w:val="en-GB"/>
        </w:rPr>
        <w:t>The service receives a request to prepare an NPK fertilization for a corn plantation using slurry, and two 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076090">
        <w:rPr>
          <w:strike/>
          <w:color w:val="FF0000"/>
          <w:lang w:val="en-GB"/>
        </w:rPr>
        <w:t>re</w:t>
      </w:r>
      <w:r w:rsidRPr="00076090">
        <w:rPr>
          <w:strike/>
          <w:color w:val="FF0000"/>
          <w:lang w:val="en-GB"/>
        </w:rPr>
        <w:t xml:space="preserve"> delivered on-demand to another service that is responsible for conver</w:t>
      </w:r>
      <w:r w:rsidR="000B27E1" w:rsidRPr="00076090">
        <w:rPr>
          <w:strike/>
          <w:color w:val="FF0000"/>
          <w:lang w:val="en-GB"/>
        </w:rPr>
        <w:t>ting</w:t>
      </w:r>
      <w:r w:rsidR="00494B94" w:rsidRPr="00076090">
        <w:rPr>
          <w:strike/>
          <w:color w:val="FF0000"/>
          <w:lang w:val="en-GB"/>
        </w:rPr>
        <w:t xml:space="preserve"> the data to a format understandable by the equipment that will perform the tasks on the field.</w:t>
      </w:r>
    </w:p>
    <w:p w14:paraId="08EA4A3E" w14:textId="665D7BCE" w:rsidR="007A0042" w:rsidRDefault="007A0042" w:rsidP="00100C77">
      <w:pPr>
        <w:pStyle w:val="PlainText"/>
        <w:ind w:right="1127"/>
        <w:rPr>
          <w:lang w:val="en-GB"/>
        </w:rPr>
      </w:pPr>
    </w:p>
    <w:p w14:paraId="2B638426" w14:textId="4CFB7708" w:rsidR="00B94F5A" w:rsidRDefault="00B94F5A" w:rsidP="00100C77">
      <w:pPr>
        <w:pStyle w:val="PlainText"/>
        <w:ind w:right="1127"/>
        <w:rPr>
          <w:lang w:val="en-GB"/>
        </w:rPr>
      </w:pPr>
    </w:p>
    <w:p w14:paraId="66123E27" w14:textId="0CDAC061" w:rsidR="00B94F5A" w:rsidRDefault="00B94F5A" w:rsidP="00100C77">
      <w:pPr>
        <w:pStyle w:val="PlainText"/>
        <w:ind w:right="1127"/>
        <w:rPr>
          <w:lang w:val="en-GB"/>
        </w:rPr>
      </w:pPr>
    </w:p>
    <w:p w14:paraId="3F130B66" w14:textId="4C3D8AEB" w:rsidR="00B94F5A" w:rsidRDefault="00B94F5A" w:rsidP="00100C77">
      <w:pPr>
        <w:pStyle w:val="PlainText"/>
        <w:ind w:right="1127"/>
        <w:rPr>
          <w:lang w:val="en-GB"/>
        </w:rPr>
      </w:pPr>
    </w:p>
    <w:p w14:paraId="7007256C" w14:textId="05018617" w:rsidR="00B94F5A" w:rsidRDefault="00B94F5A" w:rsidP="00100C77">
      <w:pPr>
        <w:pStyle w:val="PlainText"/>
        <w:ind w:right="1127"/>
        <w:rPr>
          <w:lang w:val="en-GB"/>
        </w:rPr>
      </w:pPr>
    </w:p>
    <w:p w14:paraId="29CF8971" w14:textId="7CDA0A27" w:rsidR="00B94F5A" w:rsidRDefault="00B94F5A" w:rsidP="00100C77">
      <w:pPr>
        <w:pStyle w:val="PlainText"/>
        <w:ind w:right="1127"/>
        <w:rPr>
          <w:lang w:val="en-GB"/>
        </w:rPr>
      </w:pPr>
    </w:p>
    <w:p w14:paraId="53C46D1B" w14:textId="77777777" w:rsidR="00B94F5A" w:rsidRPr="00E95C18" w:rsidRDefault="00B94F5A" w:rsidP="00100C77">
      <w:pPr>
        <w:pStyle w:val="PlainText"/>
        <w:ind w:right="1127"/>
        <w:rPr>
          <w:lang w:val="en-GB"/>
        </w:rPr>
      </w:pPr>
    </w:p>
    <w:p w14:paraId="0974528C" w14:textId="1670699F" w:rsidR="005B7ED1" w:rsidRPr="00E95C18" w:rsidRDefault="00DF2E25" w:rsidP="00100C77">
      <w:pPr>
        <w:pStyle w:val="Heading1"/>
        <w:ind w:right="1127"/>
        <w:rPr>
          <w:lang w:val="en-GB"/>
        </w:rPr>
      </w:pPr>
      <w:bookmarkStart w:id="3" w:name="_Toc102581223"/>
      <w:r>
        <w:rPr>
          <w:lang w:val="en-GB"/>
        </w:rPr>
        <w:lastRenderedPageBreak/>
        <w:t xml:space="preserve">Advisor </w:t>
      </w:r>
      <w:r w:rsidR="00FA1629"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="00FA1629" w:rsidRPr="00E95C18">
        <w:rPr>
          <w:lang w:val="en-GB"/>
        </w:rPr>
        <w:t xml:space="preserve"> </w:t>
      </w:r>
      <w:r w:rsidR="00D0010A">
        <w:rPr>
          <w:lang w:val="en-GB"/>
        </w:rPr>
        <w:t>API</w:t>
      </w:r>
      <w:bookmarkEnd w:id="3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77C06E23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6D6E04">
        <w:rPr>
          <w:lang w:val="en-GB"/>
        </w:rPr>
        <w:t xml:space="preserve">advisor </w:t>
      </w:r>
      <w:r w:rsidR="00242DC1" w:rsidRPr="00E95C18">
        <w:rPr>
          <w:lang w:val="en-GB"/>
        </w:rPr>
        <w:t>service template</w:t>
      </w:r>
      <w:r w:rsidRPr="00E95C18">
        <w:rPr>
          <w:lang w:val="en-GB"/>
        </w:rPr>
        <w:t xml:space="preserve"> </w:t>
      </w:r>
      <w:r w:rsidR="00757D0D">
        <w:rPr>
          <w:lang w:val="en-GB"/>
        </w:rPr>
        <w:t>API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3B76C8EC" w14:textId="75B25D57" w:rsidR="00CC768A" w:rsidRDefault="00CC768A" w:rsidP="00853C69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_Ref75361030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>
        <w:rPr>
          <w:lang w:val="en-GB"/>
        </w:rPr>
        <w:t>Field Registration Endpoints</w:t>
      </w:r>
      <w:r>
        <w:rPr>
          <w:lang w:val="en-GB"/>
        </w:rPr>
        <w:fldChar w:fldCharType="end"/>
      </w:r>
    </w:p>
    <w:p w14:paraId="5E526E88" w14:textId="5E052D8D" w:rsidR="00757D0D" w:rsidRDefault="005C0554" w:rsidP="00757D0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_Ref101445199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641671">
        <w:rPr>
          <w:lang w:val="en-GB"/>
        </w:rPr>
        <w:t>Register field</w:t>
      </w:r>
      <w:r w:rsidR="00757D0D">
        <w:rPr>
          <w:lang w:val="en-GB"/>
        </w:rPr>
        <w:fldChar w:fldCharType="end"/>
      </w:r>
    </w:p>
    <w:p w14:paraId="1257CEFA" w14:textId="5DB13B8B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_Ref101445203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>
        <w:rPr>
          <w:lang w:val="en-GB"/>
        </w:rPr>
        <w:t>Get field registration info</w:t>
      </w:r>
      <w:r>
        <w:rPr>
          <w:lang w:val="en-GB"/>
        </w:rPr>
        <w:fldChar w:fldCharType="end"/>
      </w:r>
    </w:p>
    <w:p w14:paraId="3B8B1942" w14:textId="2D90473D" w:rsidR="002D5101" w:rsidRDefault="00757D0D" w:rsidP="002D5101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_Ref101445206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>
        <w:rPr>
          <w:lang w:val="en-GB"/>
        </w:rPr>
        <w:t>Unregister field</w:t>
      </w:r>
      <w:r>
        <w:rPr>
          <w:lang w:val="en-GB"/>
        </w:rPr>
        <w:fldChar w:fldCharType="end"/>
      </w:r>
    </w:p>
    <w:p w14:paraId="6EB50590" w14:textId="1D1C9201" w:rsidR="00CC768A" w:rsidRPr="00E95C18" w:rsidRDefault="002D5101" w:rsidP="002D5101">
      <w:pPr>
        <w:pStyle w:val="PlainText"/>
        <w:ind w:right="1127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_Ref101508179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 w:rsidRPr="00E95C18">
        <w:rPr>
          <w:lang w:val="en-GB"/>
        </w:rPr>
        <w:t>Advic</w:t>
      </w:r>
      <w:r w:rsidR="00641671">
        <w:rPr>
          <w:lang w:val="en-GB"/>
        </w:rPr>
        <w:t>e Endpoints</w:t>
      </w:r>
      <w:r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</w:p>
    <w:p w14:paraId="666B81EB" w14:textId="7239741B" w:rsidR="00757D0D" w:rsidRDefault="00CC768A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</w:t>
      </w:r>
      <w:r w:rsidR="00757D0D">
        <w:rPr>
          <w:lang w:val="en-GB"/>
        </w:rPr>
        <w:t xml:space="preserve"> </w:t>
      </w:r>
      <w:r>
        <w:rPr>
          <w:lang w:val="en-GB"/>
        </w:rPr>
        <w:t xml:space="preserve">  </w:t>
      </w:r>
      <w:r w:rsidR="00757D0D">
        <w:rPr>
          <w:lang w:val="en-GB"/>
        </w:rPr>
        <w:fldChar w:fldCharType="begin"/>
      </w:r>
      <w:r w:rsidR="00757D0D">
        <w:rPr>
          <w:lang w:val="en-GB"/>
        </w:rPr>
        <w:instrText xml:space="preserve"> REF _Ref101508255 \h </w:instrText>
      </w:r>
      <w:r w:rsidR="00757D0D">
        <w:rPr>
          <w:lang w:val="en-GB"/>
        </w:rPr>
      </w:r>
      <w:r w:rsidR="00757D0D">
        <w:rPr>
          <w:lang w:val="en-GB"/>
        </w:rPr>
        <w:fldChar w:fldCharType="separate"/>
      </w:r>
      <w:r w:rsidR="00641671" w:rsidRPr="00E95C18">
        <w:rPr>
          <w:lang w:val="en-GB"/>
        </w:rPr>
        <w:t>Prepare Advice</w:t>
      </w:r>
      <w:r w:rsidR="00757D0D">
        <w:rPr>
          <w:lang w:val="en-GB"/>
        </w:rPr>
        <w:fldChar w:fldCharType="end"/>
      </w:r>
    </w:p>
    <w:p w14:paraId="089B2F05" w14:textId="1E198F8B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_Ref75360776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 w:rsidRPr="00E95C18">
        <w:rPr>
          <w:lang w:val="en-GB"/>
        </w:rPr>
        <w:t>Get Advice</w:t>
      </w:r>
      <w:r>
        <w:rPr>
          <w:lang w:val="en-GB"/>
        </w:rPr>
        <w:fldChar w:fldCharType="end"/>
      </w:r>
    </w:p>
    <w:p w14:paraId="31D8AC1F" w14:textId="0B91D231" w:rsidR="00757D0D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_Ref75361050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 w:rsidRPr="00E95C18">
        <w:rPr>
          <w:lang w:val="en-GB"/>
        </w:rPr>
        <w:t>Cancel Advice</w:t>
      </w:r>
      <w:r>
        <w:rPr>
          <w:lang w:val="en-GB"/>
        </w:rPr>
        <w:fldChar w:fldCharType="end"/>
      </w:r>
    </w:p>
    <w:p w14:paraId="07F23DFF" w14:textId="4E0E02B4" w:rsidR="009E53FE" w:rsidRPr="00E95C18" w:rsidRDefault="00757D0D" w:rsidP="00757D0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_Ref84583115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1671" w:rsidRPr="00E95C18">
        <w:rPr>
          <w:lang w:val="en-GB"/>
        </w:rPr>
        <w:t>Get Application Info</w:t>
      </w:r>
      <w:r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4D91FF59" w:rsidR="00365543" w:rsidRPr="00E95C18" w:rsidRDefault="006D6E04" w:rsidP="00365543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Advisor </w:t>
      </w:r>
      <w:r w:rsidR="00365543"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1269E847" w:rsidR="00605206" w:rsidRPr="00E95C18" w:rsidRDefault="00CC768A" w:rsidP="00100C77">
      <w:pPr>
        <w:pStyle w:val="Heading2"/>
        <w:ind w:right="1127"/>
        <w:rPr>
          <w:lang w:val="en-GB"/>
        </w:rPr>
      </w:pPr>
      <w:bookmarkStart w:id="4" w:name="_Ref75361030"/>
      <w:bookmarkStart w:id="5" w:name="_Toc102581224"/>
      <w:r>
        <w:rPr>
          <w:lang w:val="en-GB"/>
        </w:rPr>
        <w:t>Field Registratio</w:t>
      </w:r>
      <w:r w:rsidR="00757D0D">
        <w:rPr>
          <w:lang w:val="en-GB"/>
        </w:rPr>
        <w:t>n Endpoints</w:t>
      </w:r>
      <w:bookmarkEnd w:id="4"/>
      <w:bookmarkEnd w:id="5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4C1A46F6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C13F14">
        <w:rPr>
          <w:lang w:val="en-GB"/>
        </w:rPr>
        <w:t>registering, and unregist</w:t>
      </w:r>
      <w:r w:rsidR="00674BAC">
        <w:rPr>
          <w:lang w:val="en-GB"/>
        </w:rPr>
        <w:t>e</w:t>
      </w:r>
      <w:r w:rsidR="00C13F14">
        <w:rPr>
          <w:lang w:val="en-GB"/>
        </w:rPr>
        <w:t xml:space="preserve">ring fields. Advisor implementation may provide the means to actively monitor fields and pro-actively generate </w:t>
      </w:r>
      <w:proofErr w:type="gramStart"/>
      <w:r w:rsidR="00C13F14">
        <w:rPr>
          <w:lang w:val="en-GB"/>
        </w:rPr>
        <w:t>advices</w:t>
      </w:r>
      <w:proofErr w:type="gramEnd"/>
      <w:r w:rsidR="0086513F" w:rsidRPr="00E95C18">
        <w:rPr>
          <w:lang w:val="en-GB"/>
        </w:rPr>
        <w:t>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3CFA0952" w14:textId="1DB399C8" w:rsidR="00F806A8" w:rsidRDefault="00F806A8" w:rsidP="00100C77">
      <w:pPr>
        <w:pStyle w:val="Heading3"/>
        <w:ind w:right="1127"/>
        <w:rPr>
          <w:lang w:val="en-GB"/>
        </w:rPr>
      </w:pPr>
      <w:bookmarkStart w:id="6" w:name="_Ref101445199"/>
      <w:bookmarkStart w:id="7" w:name="_Ref75361044"/>
      <w:bookmarkStart w:id="8" w:name="_Toc102581225"/>
      <w:r>
        <w:rPr>
          <w:lang w:val="en-GB"/>
        </w:rPr>
        <w:t>Register field</w:t>
      </w:r>
      <w:bookmarkEnd w:id="6"/>
      <w:bookmarkEnd w:id="8"/>
    </w:p>
    <w:p w14:paraId="0E1F5EE2" w14:textId="6487C211" w:rsidR="00F806A8" w:rsidRDefault="00F806A8" w:rsidP="00F806A8">
      <w:pPr>
        <w:pStyle w:val="PlainText"/>
        <w:rPr>
          <w:lang w:val="en-GB"/>
        </w:rPr>
      </w:pPr>
    </w:p>
    <w:p w14:paraId="4346FD21" w14:textId="03A5FC16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E3520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registers a field with the </w:t>
      </w:r>
      <w:r w:rsidR="0002622B" w:rsidRPr="00E95C18">
        <w:rPr>
          <w:lang w:val="en-GB"/>
        </w:rPr>
        <w:fldChar w:fldCharType="begin"/>
      </w:r>
      <w:r w:rsidR="0002622B" w:rsidRPr="00E95C18">
        <w:rPr>
          <w:lang w:val="en-GB"/>
        </w:rPr>
        <w:instrText xml:space="preserve"> DOCPROPERTY "template_name" \* MERGEFORMAT </w:instrText>
      </w:r>
      <w:r w:rsidR="0002622B"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="0002622B" w:rsidRPr="00E95C18">
        <w:rPr>
          <w:lang w:val="en-GB"/>
        </w:rPr>
        <w:fldChar w:fldCharType="end"/>
      </w:r>
      <w:r w:rsidR="0002622B">
        <w:rPr>
          <w:lang w:val="en-GB"/>
        </w:rPr>
        <w:t xml:space="preserve"> </w:t>
      </w:r>
      <w:r>
        <w:rPr>
          <w:lang w:val="en-GB"/>
        </w:rPr>
        <w:t>along with the nutrient</w:t>
      </w:r>
      <w:r w:rsidR="0002622B">
        <w:rPr>
          <w:lang w:val="en-GB"/>
        </w:rPr>
        <w:t>s</w:t>
      </w:r>
      <w:r>
        <w:rPr>
          <w:lang w:val="en-GB"/>
        </w:rPr>
        <w:t xml:space="preserve"> for which future </w:t>
      </w:r>
      <w:proofErr w:type="gramStart"/>
      <w:r>
        <w:rPr>
          <w:lang w:val="en-GB"/>
        </w:rPr>
        <w:t>advices</w:t>
      </w:r>
      <w:proofErr w:type="gramEnd"/>
      <w:r>
        <w:rPr>
          <w:lang w:val="en-GB"/>
        </w:rPr>
        <w:t xml:space="preserve"> may be requested</w:t>
      </w:r>
      <w:r w:rsidR="007E3520">
        <w:rPr>
          <w:lang w:val="en-GB"/>
        </w:rPr>
        <w:t xml:space="preserve"> or suggested</w:t>
      </w:r>
      <w:r>
        <w:rPr>
          <w:lang w:val="en-GB"/>
        </w:rPr>
        <w:t>.</w:t>
      </w:r>
    </w:p>
    <w:p w14:paraId="1569BA86" w14:textId="77777777" w:rsidR="00F806A8" w:rsidRPr="00E95C18" w:rsidRDefault="00F806A8" w:rsidP="00F806A8">
      <w:pPr>
        <w:pStyle w:val="PlainText"/>
        <w:ind w:left="0" w:right="1127"/>
        <w:rPr>
          <w:lang w:val="en-GB"/>
        </w:rPr>
      </w:pPr>
    </w:p>
    <w:p w14:paraId="142570DD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B677B04" w14:textId="206363E9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>
        <w:rPr>
          <w:lang w:val="en-GB"/>
        </w:rPr>
        <w:t>register_field</w:t>
      </w:r>
      <w:proofErr w:type="spellEnd"/>
      <w:r w:rsidRPr="00E95C18">
        <w:rPr>
          <w:lang w:val="en-GB"/>
        </w:rPr>
        <w:t xml:space="preserve">                             |</w:t>
      </w:r>
    </w:p>
    <w:p w14:paraId="4BE7332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B77EA2A" w14:textId="3239A2AC" w:rsidR="00F806A8" w:rsidRPr="00E95C18" w:rsidRDefault="00F806A8" w:rsidP="0002622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urn, nutrient</w:t>
      </w:r>
      <w:r w:rsidR="007F6CDD">
        <w:rPr>
          <w:lang w:val="en-GB"/>
        </w:rPr>
        <w:t xml:space="preserve"> </w:t>
      </w:r>
      <w:r w:rsidR="0092450A">
        <w:rPr>
          <w:lang w:val="en-GB"/>
        </w:rPr>
        <w:t xml:space="preserve"> </w:t>
      </w:r>
      <w:r w:rsidRPr="00E95C18">
        <w:rPr>
          <w:lang w:val="en-GB"/>
        </w:rPr>
        <w:t xml:space="preserve">        |</w:t>
      </w:r>
    </w:p>
    <w:p w14:paraId="125EFCD7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11684B1" w14:textId="58839393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registration </w:t>
      </w:r>
      <w:r w:rsidR="0002622B">
        <w:rPr>
          <w:lang w:val="en-GB"/>
        </w:rPr>
        <w:t xml:space="preserve">status    </w:t>
      </w:r>
      <w:r w:rsidRPr="00E95C18">
        <w:rPr>
          <w:lang w:val="en-GB"/>
        </w:rPr>
        <w:t xml:space="preserve">      |</w:t>
      </w:r>
    </w:p>
    <w:p w14:paraId="37ED6A2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A0ED4BB" w14:textId="77777777" w:rsidR="00F806A8" w:rsidRPr="00E95C18" w:rsidRDefault="00F806A8" w:rsidP="00F806A8">
      <w:pPr>
        <w:pStyle w:val="PlainText"/>
        <w:ind w:right="1127"/>
        <w:rPr>
          <w:lang w:val="en-GB"/>
        </w:rPr>
      </w:pPr>
    </w:p>
    <w:p w14:paraId="6941EDEF" w14:textId="3D638FB7" w:rsidR="00BA0D4D" w:rsidRPr="00E95C18" w:rsidRDefault="0002622B" w:rsidP="00F806A8">
      <w:pPr>
        <w:pStyle w:val="PlainText"/>
        <w:ind w:right="1127"/>
        <w:rPr>
          <w:lang w:val="en-GB"/>
        </w:rPr>
      </w:pPr>
      <w:r>
        <w:rPr>
          <w:lang w:val="en-GB"/>
        </w:rPr>
        <w:lastRenderedPageBreak/>
        <w:t xml:space="preserve">The registration process may be a lengthy process. Before planning </w:t>
      </w:r>
      <w:proofErr w:type="gramStart"/>
      <w:r>
        <w:rPr>
          <w:lang w:val="en-GB"/>
        </w:rPr>
        <w:t>advices</w:t>
      </w:r>
      <w:proofErr w:type="gramEnd"/>
      <w:r>
        <w:rPr>
          <w:lang w:val="en-GB"/>
        </w:rPr>
        <w:t xml:space="preserve">, consumers must ascertain that </w:t>
      </w:r>
      <w:r w:rsidR="0092450A">
        <w:rPr>
          <w:lang w:val="en-GB"/>
        </w:rPr>
        <w:t>a field’s</w:t>
      </w:r>
      <w:r>
        <w:rPr>
          <w:lang w:val="en-GB"/>
        </w:rPr>
        <w:t xml:space="preserve"> registration status is READY by either polling or requesting a notification (</w:t>
      </w:r>
      <w:r w:rsidR="000B335B">
        <w:rPr>
          <w:lang w:val="en-GB"/>
        </w:rPr>
        <w:t>s</w:t>
      </w:r>
      <w:r w:rsidR="0092450A">
        <w:rPr>
          <w:lang w:val="en-GB"/>
        </w:rPr>
        <w:t>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641671">
        <w:rPr>
          <w:lang w:val="en-GB"/>
        </w:rPr>
        <w:t>7.2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_Ref101534563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641671">
        <w:rPr>
          <w:lang w:val="en-GB"/>
        </w:rPr>
        <w:t>Field Registration</w:t>
      </w:r>
      <w:r w:rsidR="000B335B">
        <w:rPr>
          <w:lang w:val="en-GB"/>
        </w:rPr>
        <w:fldChar w:fldCharType="end"/>
      </w:r>
      <w:r>
        <w:rPr>
          <w:lang w:val="en-GB"/>
        </w:rPr>
        <w:t>)</w:t>
      </w:r>
      <w:r w:rsidR="00BA0D4D">
        <w:rPr>
          <w:lang w:val="en-GB"/>
        </w:rPr>
        <w:t xml:space="preserve"> </w:t>
      </w:r>
    </w:p>
    <w:p w14:paraId="3C8D983B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</w:p>
    <w:p w14:paraId="1F15F078" w14:textId="6DA16F56" w:rsidR="00BA0D4D" w:rsidRDefault="00BA0D4D" w:rsidP="00BA0D4D">
      <w:pPr>
        <w:pStyle w:val="Heading3"/>
        <w:ind w:right="1127"/>
        <w:rPr>
          <w:lang w:val="en-GB"/>
        </w:rPr>
      </w:pPr>
      <w:bookmarkStart w:id="9" w:name="_Ref101445203"/>
      <w:bookmarkStart w:id="10" w:name="_Toc102581226"/>
      <w:r>
        <w:rPr>
          <w:lang w:val="en-GB"/>
        </w:rPr>
        <w:t>Get field registration info</w:t>
      </w:r>
      <w:bookmarkEnd w:id="9"/>
      <w:bookmarkEnd w:id="10"/>
    </w:p>
    <w:p w14:paraId="27B6E7B0" w14:textId="77777777" w:rsidR="00BA0D4D" w:rsidRDefault="00BA0D4D" w:rsidP="00BA0D4D">
      <w:pPr>
        <w:pStyle w:val="PlainText"/>
        <w:rPr>
          <w:lang w:val="en-GB"/>
        </w:rPr>
      </w:pPr>
    </w:p>
    <w:p w14:paraId="2EE31857" w14:textId="4AD4237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1F063E">
        <w:rPr>
          <w:lang w:val="en-GB"/>
        </w:rPr>
        <w:t>endpoint</w:t>
      </w:r>
      <w:r w:rsidRPr="00E95C18">
        <w:rPr>
          <w:lang w:val="en-GB"/>
        </w:rPr>
        <w:t xml:space="preserve"> </w:t>
      </w:r>
      <w:r w:rsidR="001F063E">
        <w:rPr>
          <w:lang w:val="en-GB"/>
        </w:rPr>
        <w:t>returns</w:t>
      </w:r>
      <w:r>
        <w:rPr>
          <w:lang w:val="en-GB"/>
        </w:rPr>
        <w:t xml:space="preserve"> the registration info for a field. </w:t>
      </w:r>
    </w:p>
    <w:p w14:paraId="59298D6F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2A23AE46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35E169D4" w14:textId="4557905E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>
        <w:rPr>
          <w:lang w:val="en-GB"/>
        </w:rPr>
        <w:t>registration_info</w:t>
      </w:r>
      <w:proofErr w:type="spellEnd"/>
      <w:r w:rsidRPr="00E95C18">
        <w:rPr>
          <w:lang w:val="en-GB"/>
        </w:rPr>
        <w:t xml:space="preserve">                          |</w:t>
      </w:r>
    </w:p>
    <w:p w14:paraId="23A5BEE9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DD1B60A" w14:textId="5FF6102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           </w:t>
      </w:r>
      <w:r w:rsidRPr="00E95C18">
        <w:rPr>
          <w:lang w:val="en-GB"/>
        </w:rPr>
        <w:t xml:space="preserve"> |</w:t>
      </w:r>
    </w:p>
    <w:p w14:paraId="6141797E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DECB24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>field registration info</w:t>
      </w:r>
      <w:r w:rsidRPr="00E95C18">
        <w:rPr>
          <w:lang w:val="en-GB"/>
        </w:rPr>
        <w:t xml:space="preserve">      |</w:t>
      </w:r>
    </w:p>
    <w:p w14:paraId="2923DAED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B7A80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5557473B" w14:textId="72DC6074" w:rsidR="00BA0D4D" w:rsidRDefault="00BA0D4D" w:rsidP="00BA0D4D">
      <w:pPr>
        <w:pStyle w:val="Heading3"/>
        <w:ind w:right="1127"/>
        <w:rPr>
          <w:lang w:val="en-GB"/>
        </w:rPr>
      </w:pPr>
      <w:bookmarkStart w:id="11" w:name="_Ref101445206"/>
      <w:bookmarkStart w:id="12" w:name="_Toc102581227"/>
      <w:r>
        <w:rPr>
          <w:lang w:val="en-GB"/>
        </w:rPr>
        <w:t>Unregister field</w:t>
      </w:r>
      <w:bookmarkEnd w:id="11"/>
      <w:bookmarkEnd w:id="12"/>
    </w:p>
    <w:p w14:paraId="10548E42" w14:textId="77777777" w:rsidR="00BA0D4D" w:rsidRDefault="00BA0D4D" w:rsidP="00BA0D4D">
      <w:pPr>
        <w:pStyle w:val="PlainText"/>
        <w:rPr>
          <w:lang w:val="en-GB"/>
        </w:rPr>
      </w:pPr>
    </w:p>
    <w:p w14:paraId="16E23C11" w14:textId="36AE9A0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7F6CDD">
        <w:rPr>
          <w:lang w:val="en-GB"/>
        </w:rPr>
        <w:t>endpoint</w:t>
      </w:r>
      <w:r w:rsidRPr="00E95C18">
        <w:rPr>
          <w:lang w:val="en-GB"/>
        </w:rPr>
        <w:t xml:space="preserve"> </w:t>
      </w:r>
      <w:r>
        <w:rPr>
          <w:lang w:val="en-GB"/>
        </w:rPr>
        <w:t xml:space="preserve">unregisters a field </w:t>
      </w:r>
      <w:r w:rsidR="007F6CDD">
        <w:rPr>
          <w:lang w:val="en-GB"/>
        </w:rPr>
        <w:t>from</w:t>
      </w:r>
      <w:r>
        <w:rPr>
          <w:lang w:val="en-GB"/>
        </w:rPr>
        <w:t xml:space="preserve"> the service. </w:t>
      </w:r>
    </w:p>
    <w:p w14:paraId="00271399" w14:textId="77777777" w:rsidR="00BA0D4D" w:rsidRPr="00E95C18" w:rsidRDefault="00BA0D4D" w:rsidP="00BA0D4D">
      <w:pPr>
        <w:pStyle w:val="PlainText"/>
        <w:ind w:left="0" w:right="1127"/>
        <w:rPr>
          <w:lang w:val="en-GB"/>
        </w:rPr>
      </w:pPr>
    </w:p>
    <w:p w14:paraId="762789A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5D7D668" w14:textId="3C6DBFF3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>
        <w:rPr>
          <w:lang w:val="en-GB"/>
        </w:rPr>
        <w:t>unregister_field</w:t>
      </w:r>
      <w:proofErr w:type="spellEnd"/>
      <w:r w:rsidRPr="00E95C18">
        <w:rPr>
          <w:lang w:val="en-GB"/>
        </w:rPr>
        <w:t xml:space="preserve">                           |</w:t>
      </w:r>
    </w:p>
    <w:p w14:paraId="244931D1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FFEB98" w14:textId="5A899D86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field urn</w:t>
      </w:r>
      <w:r>
        <w:rPr>
          <w:lang w:val="en-GB"/>
        </w:rPr>
        <w:t xml:space="preserve">        </w:t>
      </w:r>
      <w:r w:rsidRPr="00E95C18">
        <w:rPr>
          <w:lang w:val="en-GB"/>
        </w:rPr>
        <w:t xml:space="preserve">            |</w:t>
      </w:r>
    </w:p>
    <w:p w14:paraId="7DFDE30F" w14:textId="77777777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FFCA32C" w14:textId="167C274B" w:rsidR="00BA0D4D" w:rsidRPr="00E95C18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>
        <w:rPr>
          <w:lang w:val="en-GB"/>
        </w:rPr>
        <w:t xml:space="preserve">                       </w:t>
      </w:r>
      <w:r w:rsidRPr="00E95C18">
        <w:rPr>
          <w:lang w:val="en-GB"/>
        </w:rPr>
        <w:t xml:space="preserve">      |</w:t>
      </w:r>
    </w:p>
    <w:p w14:paraId="6A0C980A" w14:textId="39DABA11" w:rsidR="00BA0D4D" w:rsidRDefault="00BA0D4D" w:rsidP="00BA0D4D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E5AD5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4FBF7EB6" w14:textId="39F153C2" w:rsidR="00CC768A" w:rsidRPr="00E95C18" w:rsidRDefault="00CC768A" w:rsidP="00CC768A">
      <w:pPr>
        <w:pStyle w:val="Heading2"/>
        <w:ind w:right="1127"/>
        <w:rPr>
          <w:lang w:val="en-GB"/>
        </w:rPr>
      </w:pPr>
      <w:bookmarkStart w:id="13" w:name="_Ref101508179"/>
      <w:bookmarkStart w:id="14" w:name="_Toc102581228"/>
      <w:r w:rsidRPr="00E95C18">
        <w:rPr>
          <w:lang w:val="en-GB"/>
        </w:rPr>
        <w:t>Advic</w:t>
      </w:r>
      <w:r w:rsidR="00757D0D">
        <w:rPr>
          <w:lang w:val="en-GB"/>
        </w:rPr>
        <w:t>e Endpoints</w:t>
      </w:r>
      <w:bookmarkEnd w:id="13"/>
      <w:bookmarkEnd w:id="14"/>
    </w:p>
    <w:p w14:paraId="006CFB17" w14:textId="77777777" w:rsidR="00CC768A" w:rsidRPr="00E95C18" w:rsidRDefault="00CC768A" w:rsidP="00CC768A">
      <w:pPr>
        <w:pStyle w:val="PlainText"/>
        <w:ind w:right="1127"/>
        <w:rPr>
          <w:lang w:val="en-GB"/>
        </w:rPr>
      </w:pPr>
    </w:p>
    <w:p w14:paraId="6FE95534" w14:textId="64BC5C17" w:rsidR="00CC768A" w:rsidRPr="00E95C18" w:rsidRDefault="00CC768A" w:rsidP="00CC768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7F6CDD">
        <w:rPr>
          <w:lang w:val="en-GB"/>
        </w:rPr>
        <w:t>endpoints</w:t>
      </w:r>
      <w:r w:rsidRPr="00E95C18">
        <w:rPr>
          <w:lang w:val="en-GB"/>
        </w:rPr>
        <w:t xml:space="preserve"> relate to the creation of fertilization </w:t>
      </w:r>
      <w:proofErr w:type="gramStart"/>
      <w:r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. </w:t>
      </w:r>
      <w:proofErr w:type="gramStart"/>
      <w:r w:rsidRPr="00E95C18">
        <w:rPr>
          <w:lang w:val="en-GB"/>
        </w:rPr>
        <w:t>An</w:t>
      </w:r>
      <w:proofErr w:type="gramEnd"/>
      <w:r w:rsidRPr="00E95C18">
        <w:rPr>
          <w:lang w:val="en-GB"/>
        </w:rPr>
        <w:t xml:space="preserve"> advice may be request</w:t>
      </w:r>
      <w:r w:rsidR="000F4774">
        <w:rPr>
          <w:lang w:val="en-GB"/>
        </w:rPr>
        <w:t>ed</w:t>
      </w:r>
      <w:r w:rsidRPr="00E95C18">
        <w:rPr>
          <w:lang w:val="en-GB"/>
        </w:rPr>
        <w:t xml:space="preserve"> to </w:t>
      </w:r>
      <w:r w:rsidR="000F4774">
        <w:rPr>
          <w:lang w:val="en-GB"/>
        </w:rPr>
        <w:t xml:space="preserve">plan and </w:t>
      </w:r>
      <w:r w:rsidRPr="00E95C18">
        <w:rPr>
          <w:lang w:val="en-GB"/>
        </w:rPr>
        <w:t xml:space="preserve">optimize fertilization for a </w:t>
      </w:r>
      <w:r w:rsidR="000F4774">
        <w:rPr>
          <w:lang w:val="en-GB"/>
        </w:rPr>
        <w:t>one or more related</w:t>
      </w:r>
      <w:r w:rsidRPr="00E95C18">
        <w:rPr>
          <w:lang w:val="en-GB"/>
        </w:rPr>
        <w:t xml:space="preserve"> nutrients</w:t>
      </w:r>
      <w:r w:rsidR="000F4774">
        <w:rPr>
          <w:lang w:val="en-GB"/>
        </w:rPr>
        <w:t xml:space="preserve"> (e.g. NPK)</w:t>
      </w:r>
      <w:r w:rsidRPr="00E95C18">
        <w:rPr>
          <w:lang w:val="en-GB"/>
        </w:rPr>
        <w:t xml:space="preserve"> to be applied on a field.</w:t>
      </w:r>
    </w:p>
    <w:p w14:paraId="1720E702" w14:textId="77777777" w:rsidR="00CC768A" w:rsidRPr="00E95C18" w:rsidRDefault="00CC768A" w:rsidP="00BA0D4D">
      <w:pPr>
        <w:pStyle w:val="PlainText"/>
        <w:ind w:right="1127"/>
        <w:rPr>
          <w:lang w:val="en-GB"/>
        </w:rPr>
      </w:pPr>
    </w:p>
    <w:p w14:paraId="472CE855" w14:textId="77777777" w:rsidR="00F806A8" w:rsidRPr="00F806A8" w:rsidRDefault="00F806A8" w:rsidP="00BA0D4D">
      <w:pPr>
        <w:pStyle w:val="PlainText"/>
        <w:ind w:left="0"/>
        <w:rPr>
          <w:lang w:val="en-GB"/>
        </w:rPr>
      </w:pPr>
    </w:p>
    <w:p w14:paraId="27BB3DCF" w14:textId="73772602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15" w:name="_Ref101508255"/>
      <w:bookmarkStart w:id="16" w:name="_Toc102581229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7"/>
      <w:bookmarkEnd w:id="15"/>
      <w:bookmarkEnd w:id="16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7D2B353A" w14:textId="14A2A827" w:rsidR="00C03DE7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D0198C">
        <w:rPr>
          <w:lang w:val="en-GB"/>
        </w:rPr>
        <w:t>endpoint is used to</w:t>
      </w:r>
      <w:r w:rsidRPr="00E95C18">
        <w:rPr>
          <w:lang w:val="en-GB"/>
        </w:rPr>
        <w:t xml:space="preserve"> </w:t>
      </w:r>
      <w:r w:rsidR="00C03DE7">
        <w:rPr>
          <w:lang w:val="en-GB"/>
        </w:rPr>
        <w:t xml:space="preserve">requests </w:t>
      </w:r>
      <w:proofErr w:type="gramStart"/>
      <w:r w:rsidR="00C03DE7">
        <w:rPr>
          <w:lang w:val="en-GB"/>
        </w:rPr>
        <w:t>an</w:t>
      </w:r>
      <w:proofErr w:type="gramEnd"/>
      <w:r w:rsidR="00C03DE7">
        <w:rPr>
          <w:lang w:val="en-GB"/>
        </w:rPr>
        <w:t xml:space="preserve"> advice to be prepared for specified nutrients and the products that are at disposition.</w:t>
      </w:r>
    </w:p>
    <w:p w14:paraId="234AE212" w14:textId="77777777" w:rsidR="00C03DE7" w:rsidRPr="00E95C18" w:rsidRDefault="00C03DE7" w:rsidP="00100C77">
      <w:pPr>
        <w:pStyle w:val="PlainText"/>
        <w:ind w:right="1127"/>
        <w:rPr>
          <w:lang w:val="en-GB"/>
        </w:rPr>
      </w:pPr>
    </w:p>
    <w:p w14:paraId="7482ED74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applications that will be carried out (one or more) and their associated products, so that they may optimize advised application maps accordingly.</w:t>
      </w:r>
    </w:p>
    <w:p w14:paraId="5DDC7246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</w:p>
    <w:p w14:paraId="6D18E070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E670FF0" w14:textId="57ECAE99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540BC5">
        <w:rPr>
          <w:lang w:val="en-GB"/>
        </w:rPr>
        <w:t>prepare_advice</w:t>
      </w:r>
      <w:proofErr w:type="spellEnd"/>
      <w:r w:rsidR="00540BC5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DB4FB8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28DFE1E" w14:textId="6ADC2E41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283A3D">
        <w:rPr>
          <w:lang w:val="en-GB"/>
        </w:rPr>
        <w:t>field urn</w:t>
      </w:r>
      <w:r w:rsidRPr="00E95C18">
        <w:rPr>
          <w:lang w:val="en-GB"/>
        </w:rPr>
        <w:t xml:space="preserve">, </w:t>
      </w:r>
      <w:r w:rsidR="00283A3D" w:rsidRPr="00E95C18">
        <w:rPr>
          <w:lang w:val="en-GB"/>
        </w:rPr>
        <w:t>application</w:t>
      </w:r>
      <w:r w:rsidR="006F3ADB">
        <w:rPr>
          <w:lang w:val="en-GB"/>
        </w:rPr>
        <w:t xml:space="preserve">     </w:t>
      </w:r>
      <w:r w:rsidR="00283A3D">
        <w:rPr>
          <w:lang w:val="en-GB"/>
        </w:rPr>
        <w:t xml:space="preserve"> </w:t>
      </w:r>
      <w:r w:rsidRPr="00E95C18">
        <w:rPr>
          <w:lang w:val="en-GB"/>
        </w:rPr>
        <w:t xml:space="preserve"> |</w:t>
      </w:r>
    </w:p>
    <w:p w14:paraId="6AD7AF79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F73ACB1" w14:textId="7B4402D0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283A3D">
        <w:rPr>
          <w:lang w:val="en-GB"/>
        </w:rPr>
        <w:t>advice urn</w:t>
      </w:r>
      <w:r w:rsidRPr="00E95C18">
        <w:rPr>
          <w:lang w:val="en-GB"/>
        </w:rPr>
        <w:t xml:space="preserve">                   |</w:t>
      </w:r>
    </w:p>
    <w:p w14:paraId="43B4E655" w14:textId="77777777" w:rsidR="00C03DE7" w:rsidRPr="00E95C18" w:rsidRDefault="00C03DE7" w:rsidP="00C03D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59140CE" w14:textId="77777777" w:rsidR="00C03DE7" w:rsidRPr="00E95C18" w:rsidRDefault="00C03DE7" w:rsidP="00283A3D">
      <w:pPr>
        <w:pStyle w:val="PlainText"/>
        <w:ind w:left="0" w:right="1127"/>
        <w:rPr>
          <w:lang w:val="en-GB"/>
        </w:rPr>
      </w:pPr>
    </w:p>
    <w:p w14:paraId="46433B7F" w14:textId="171035D8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</w:t>
      </w:r>
      <w:r w:rsidR="000F4774">
        <w:rPr>
          <w:lang w:val="en-GB"/>
        </w:rPr>
        <w:t>for</w:t>
      </w:r>
      <w:r w:rsidRPr="00E95C18">
        <w:rPr>
          <w:lang w:val="en-GB"/>
        </w:rPr>
        <w:t xml:space="preserve"> preparing </w:t>
      </w:r>
      <w:proofErr w:type="gramStart"/>
      <w:r w:rsidR="00FA1629"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 from the </w:t>
      </w:r>
      <w:proofErr w:type="spellStart"/>
      <w:r w:rsidRPr="00E95C18">
        <w:rPr>
          <w:lang w:val="en-GB"/>
        </w:rPr>
        <w:t>field_data</w:t>
      </w:r>
      <w:proofErr w:type="spellEnd"/>
      <w:r w:rsidRPr="00E95C18">
        <w:rPr>
          <w:lang w:val="en-GB"/>
        </w:rPr>
        <w:t xml:space="preserve"> service (e.g., boundaries, current crop, previous applications, etc.).</w:t>
      </w:r>
      <w:r w:rsidR="00C62F66">
        <w:rPr>
          <w:lang w:val="en-GB"/>
        </w:rPr>
        <w:t xml:space="preserve"> </w:t>
      </w:r>
      <w:proofErr w:type="gramStart"/>
      <w:r w:rsidR="00C62F66">
        <w:rPr>
          <w:lang w:val="en-GB"/>
        </w:rPr>
        <w:t>Advices</w:t>
      </w:r>
      <w:proofErr w:type="gramEnd"/>
      <w:r w:rsidR="00C62F66">
        <w:rPr>
          <w:lang w:val="en-GB"/>
        </w:rPr>
        <w:t xml:space="preserve"> should be prepared by taking the current conditions into account. Advisors </w:t>
      </w:r>
      <w:proofErr w:type="gramStart"/>
      <w:r w:rsidR="00C62F66">
        <w:rPr>
          <w:lang w:val="en-GB"/>
        </w:rPr>
        <w:t>have the opportunity to</w:t>
      </w:r>
      <w:proofErr w:type="gramEnd"/>
      <w:r w:rsidR="00C62F66">
        <w:rPr>
          <w:lang w:val="en-GB"/>
        </w:rPr>
        <w:t xml:space="preserve"> refine</w:t>
      </w:r>
      <w:r w:rsidR="003B2B22">
        <w:rPr>
          <w:lang w:val="en-GB"/>
        </w:rPr>
        <w:t xml:space="preserve"> the</w:t>
      </w:r>
      <w:r w:rsidR="000F4774">
        <w:rPr>
          <w:lang w:val="en-GB"/>
        </w:rPr>
        <w:t>ir</w:t>
      </w:r>
      <w:r w:rsidR="003B2B22">
        <w:rPr>
          <w:lang w:val="en-GB"/>
        </w:rPr>
        <w:t xml:space="preserve"> internal recommendations at the </w:t>
      </w:r>
      <w:r w:rsidR="000F4774">
        <w:rPr>
          <w:lang w:val="en-GB"/>
        </w:rPr>
        <w:t xml:space="preserve">actual </w:t>
      </w:r>
      <w:r w:rsidR="003B2B22">
        <w:rPr>
          <w:lang w:val="en-GB"/>
        </w:rPr>
        <w:t>time the application for the advice is requested (see</w:t>
      </w:r>
      <w:r w:rsidR="00C34A90">
        <w:rPr>
          <w:lang w:val="en-GB"/>
        </w:rPr>
        <w:t xml:space="preserve"> </w:t>
      </w:r>
      <w:r w:rsidR="00C34A90">
        <w:rPr>
          <w:lang w:val="en-GB"/>
        </w:rPr>
        <w:fldChar w:fldCharType="begin"/>
      </w:r>
      <w:r w:rsidR="00C34A90">
        <w:rPr>
          <w:lang w:val="en-GB"/>
        </w:rPr>
        <w:instrText xml:space="preserve"> REF _Ref84583115 \h </w:instrText>
      </w:r>
      <w:r w:rsidR="00C34A90">
        <w:rPr>
          <w:lang w:val="en-GB"/>
        </w:rPr>
      </w:r>
      <w:r w:rsidR="00C34A90">
        <w:rPr>
          <w:lang w:val="en-GB"/>
        </w:rPr>
        <w:fldChar w:fldCharType="separate"/>
      </w:r>
      <w:r w:rsidR="00641671" w:rsidRPr="00E95C18">
        <w:rPr>
          <w:lang w:val="en-GB"/>
        </w:rPr>
        <w:t>Get Application Info</w:t>
      </w:r>
      <w:r w:rsidR="00C34A90">
        <w:rPr>
          <w:lang w:val="en-GB"/>
        </w:rPr>
        <w:fldChar w:fldCharType="end"/>
      </w:r>
      <w:r w:rsidR="003B2B22">
        <w:rPr>
          <w:lang w:val="en-GB"/>
        </w:rPr>
        <w:t>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75F4021E" w:rsidR="007528EB" w:rsidRPr="00E95C18" w:rsidRDefault="00283A3D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Advice preparation may be a lengthy process. </w:t>
      </w:r>
      <w:r w:rsidR="00086586" w:rsidRPr="00E95C18">
        <w:rPr>
          <w:lang w:val="en-GB"/>
        </w:rPr>
        <w:t>Clients may</w:t>
      </w:r>
      <w:r w:rsidR="00360F2C">
        <w:rPr>
          <w:lang w:val="en-GB"/>
        </w:rPr>
        <w:t xml:space="preserve"> either poll or request to be notified to determine that the advice is READY</w:t>
      </w:r>
      <w:r w:rsidR="00965D1A" w:rsidRPr="00E95C18">
        <w:rPr>
          <w:lang w:val="en-GB"/>
        </w:rPr>
        <w:t xml:space="preserve"> (</w:t>
      </w:r>
      <w:r w:rsidR="00086586" w:rsidRPr="00E95C18">
        <w:rPr>
          <w:lang w:val="en-GB"/>
        </w:rPr>
        <w:t>see</w:t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_Ref101534528 \r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641671">
        <w:rPr>
          <w:lang w:val="en-GB"/>
        </w:rPr>
        <w:t>7.3</w:t>
      </w:r>
      <w:r w:rsidR="000B335B">
        <w:rPr>
          <w:lang w:val="en-GB"/>
        </w:rPr>
        <w:fldChar w:fldCharType="end"/>
      </w:r>
      <w:r w:rsidR="000B335B">
        <w:rPr>
          <w:lang w:val="en-GB"/>
        </w:rPr>
        <w:t xml:space="preserve"> </w:t>
      </w:r>
      <w:r w:rsidR="000B335B">
        <w:rPr>
          <w:lang w:val="en-GB"/>
        </w:rPr>
        <w:fldChar w:fldCharType="begin"/>
      </w:r>
      <w:r w:rsidR="000B335B">
        <w:rPr>
          <w:lang w:val="en-GB"/>
        </w:rPr>
        <w:instrText xml:space="preserve"> REF _Ref101534531 \h </w:instrText>
      </w:r>
      <w:r w:rsidR="000B335B">
        <w:rPr>
          <w:lang w:val="en-GB"/>
        </w:rPr>
      </w:r>
      <w:r w:rsidR="000B335B">
        <w:rPr>
          <w:lang w:val="en-GB"/>
        </w:rPr>
        <w:fldChar w:fldCharType="separate"/>
      </w:r>
      <w:r w:rsidR="00641671" w:rsidRPr="00E95C18">
        <w:rPr>
          <w:lang w:val="en-GB"/>
        </w:rPr>
        <w:t xml:space="preserve">Advice </w:t>
      </w:r>
      <w:r w:rsidR="00641671">
        <w:rPr>
          <w:lang w:val="en-GB"/>
        </w:rPr>
        <w:t>Preparation</w:t>
      </w:r>
      <w:r w:rsidR="000B335B">
        <w:rPr>
          <w:lang w:val="en-GB"/>
        </w:rPr>
        <w:fldChar w:fldCharType="end"/>
      </w:r>
      <w:r w:rsidR="00086586" w:rsidRPr="00E95C18">
        <w:rPr>
          <w:lang w:val="en-GB"/>
        </w:rPr>
        <w:t>)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7EFCAEAF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17" w:name="_Ref75360776"/>
      <w:bookmarkStart w:id="18" w:name="_Toc102581230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bookmarkEnd w:id="17"/>
      <w:r w:rsidR="000B56CF">
        <w:rPr>
          <w:lang w:val="en-GB"/>
        </w:rPr>
        <w:t xml:space="preserve"> Info</w:t>
      </w:r>
      <w:bookmarkEnd w:id="18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047EF222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 xml:space="preserve">status information about </w:t>
      </w:r>
      <w:proofErr w:type="gramStart"/>
      <w:r w:rsidR="003A4395" w:rsidRPr="00E95C18">
        <w:rPr>
          <w:lang w:val="en-GB"/>
        </w:rPr>
        <w:t>a</w:t>
      </w:r>
      <w:r w:rsidR="00965D1A" w:rsidRPr="00E95C18">
        <w:rPr>
          <w:lang w:val="en-GB"/>
        </w:rPr>
        <w:t>n</w:t>
      </w:r>
      <w:proofErr w:type="gramEnd"/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61236EF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965D1A" w:rsidRPr="00E95C18">
        <w:rPr>
          <w:lang w:val="en-GB"/>
        </w:rPr>
        <w:t>advice</w:t>
      </w:r>
      <w:r w:rsidR="000B56CF">
        <w:rPr>
          <w:lang w:val="en-GB"/>
        </w:rPr>
        <w:t>_info</w:t>
      </w:r>
      <w:proofErr w:type="spellEnd"/>
      <w:r w:rsidR="00757D0D">
        <w:rPr>
          <w:lang w:val="en-GB"/>
        </w:rPr>
        <w:t xml:space="preserve">         </w:t>
      </w:r>
      <w:r w:rsidR="00965D1A" w:rsidRPr="00E95C18">
        <w:rPr>
          <w:lang w:val="en-GB"/>
        </w:rPr>
        <w:t xml:space="preserve">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43D1D38E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63780C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57E545A4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63780C">
        <w:rPr>
          <w:lang w:val="en-GB"/>
        </w:rPr>
        <w:t>advice info</w:t>
      </w:r>
      <w:r w:rsidR="005F715B" w:rsidRPr="00E95C18">
        <w:rPr>
          <w:lang w:val="en-GB"/>
        </w:rPr>
        <w:t xml:space="preserve">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45C58632" w:rsidR="0086513F" w:rsidRPr="00E95C18" w:rsidRDefault="0063780C" w:rsidP="0086513F">
      <w:pPr>
        <w:pStyle w:val="PlainText"/>
        <w:rPr>
          <w:lang w:val="en-GB"/>
        </w:rPr>
      </w:pPr>
      <w:r>
        <w:rPr>
          <w:lang w:val="en-GB"/>
        </w:rPr>
        <w:t>In addition to the information submitted when preparing the advice, the advice info also contains a</w:t>
      </w:r>
      <w:r w:rsidR="0086513F" w:rsidRPr="00E95C18">
        <w:rPr>
          <w:lang w:val="en-GB"/>
        </w:rPr>
        <w:t xml:space="preserve"> status</w:t>
      </w:r>
      <w:r>
        <w:rPr>
          <w:lang w:val="en-GB"/>
        </w:rPr>
        <w:t xml:space="preserve"> about the advice preparation which</w:t>
      </w:r>
      <w:r w:rsidR="0086513F" w:rsidRPr="00E95C18">
        <w:rPr>
          <w:lang w:val="en-GB"/>
        </w:rPr>
        <w:t xml:space="preserve"> is one of </w:t>
      </w:r>
      <w:r w:rsidR="009C4F9F">
        <w:rPr>
          <w:lang w:val="en-GB"/>
        </w:rPr>
        <w:t>IN_PROGRESS</w:t>
      </w:r>
      <w:r w:rsidR="00C34A90" w:rsidRPr="00E95C18">
        <w:rPr>
          <w:lang w:val="en-GB"/>
        </w:rPr>
        <w:t xml:space="preserve">, </w:t>
      </w:r>
      <w:r w:rsidR="00C34A90">
        <w:rPr>
          <w:lang w:val="en-GB"/>
        </w:rPr>
        <w:t xml:space="preserve">CONFIGURATION_REQUIRED, </w:t>
      </w:r>
      <w:r w:rsidR="00C34A90" w:rsidRPr="00E95C18">
        <w:rPr>
          <w:lang w:val="en-GB"/>
        </w:rPr>
        <w:t>READY, FAILED</w:t>
      </w:r>
      <w:r w:rsidR="00ED7916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9" w:name="_Ref75361050"/>
      <w:bookmarkStart w:id="20" w:name="_Toc102581231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9"/>
      <w:bookmarkEnd w:id="20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965D1A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1FA711E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r w:rsidR="00BD6048">
        <w:rPr>
          <w:lang w:val="en-GB"/>
        </w:rPr>
        <w:t>urn</w:t>
      </w:r>
      <w:r w:rsidRPr="00E95C18">
        <w:rPr>
          <w:lang w:val="en-GB"/>
        </w:rPr>
        <w:t xml:space="preserve">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19B3A4C0" w:rsidR="00AA0260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BC40AD5" w14:textId="630D4C5E" w:rsidR="00EE544F" w:rsidRDefault="00EE544F" w:rsidP="00AA0260">
      <w:pPr>
        <w:pStyle w:val="PlainText"/>
        <w:ind w:right="1127"/>
        <w:rPr>
          <w:lang w:val="en-GB"/>
        </w:rPr>
      </w:pPr>
    </w:p>
    <w:p w14:paraId="1037AAC9" w14:textId="05DDDFE5" w:rsidR="00EE544F" w:rsidRPr="00E95C18" w:rsidRDefault="00EE544F" w:rsidP="00AA0260">
      <w:pPr>
        <w:pStyle w:val="PlainText"/>
        <w:ind w:right="1127"/>
        <w:rPr>
          <w:lang w:val="en-GB"/>
        </w:rPr>
      </w:pPr>
      <w:r>
        <w:rPr>
          <w:lang w:val="en-GB"/>
        </w:rPr>
        <w:t>Invoking this endpoint causes the advice status to become FAILED.</w:t>
      </w:r>
      <w:r w:rsidR="009468C9">
        <w:rPr>
          <w:lang w:val="en-GB"/>
        </w:rPr>
        <w:t xml:space="preserve"> If an advice that is not yet in READY state is cancel</w:t>
      </w:r>
      <w:r w:rsidR="004509EA">
        <w:rPr>
          <w:lang w:val="en-GB"/>
        </w:rPr>
        <w:t>l</w:t>
      </w:r>
      <w:r w:rsidR="009468C9">
        <w:rPr>
          <w:lang w:val="en-GB"/>
        </w:rPr>
        <w:t>ed</w:t>
      </w:r>
      <w:r w:rsidR="004509EA">
        <w:rPr>
          <w:lang w:val="en-GB"/>
        </w:rPr>
        <w:t xml:space="preserve"> and if a notification URL was provided in the </w:t>
      </w:r>
      <w:proofErr w:type="spellStart"/>
      <w:r w:rsidR="004509EA">
        <w:rPr>
          <w:lang w:val="en-GB"/>
        </w:rPr>
        <w:t>prepare_</w:t>
      </w:r>
      <w:r w:rsidR="00C34A90">
        <w:rPr>
          <w:lang w:val="en-GB"/>
        </w:rPr>
        <w:t>advice</w:t>
      </w:r>
      <w:proofErr w:type="spellEnd"/>
      <w:r w:rsidR="004509EA">
        <w:rPr>
          <w:lang w:val="en-GB"/>
        </w:rPr>
        <w:t xml:space="preserve"> request, a notification MUST be dispatched.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21" w:name="_Ref84583115"/>
      <w:bookmarkStart w:id="22" w:name="_Toc102581232"/>
      <w:r w:rsidRPr="00E95C18">
        <w:rPr>
          <w:lang w:val="en-GB"/>
        </w:rPr>
        <w:t>Get Application Info</w:t>
      </w:r>
      <w:bookmarkEnd w:id="21"/>
      <w:bookmarkEnd w:id="22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0F67DB0E" w14:textId="77777777" w:rsidR="00E44885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557C75">
        <w:rPr>
          <w:lang w:val="en-GB"/>
        </w:rPr>
        <w:t>endpoint</w:t>
      </w:r>
      <w:r w:rsidRPr="00E95C18">
        <w:rPr>
          <w:lang w:val="en-GB"/>
        </w:rPr>
        <w:t xml:space="preserve"> may only be performed on </w:t>
      </w:r>
      <w:proofErr w:type="gramStart"/>
      <w:r w:rsidR="00E23EE7"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 whose status is READY. It returns a </w:t>
      </w:r>
      <w:r w:rsidR="00E23EE7" w:rsidRPr="00E95C18">
        <w:rPr>
          <w:lang w:val="en-GB"/>
        </w:rPr>
        <w:t>download URL to the application map and the total estimated amount of product needed carry out the application.</w:t>
      </w:r>
    </w:p>
    <w:p w14:paraId="6DCF70A3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A2119AC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2E2AA15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                      |</w:t>
      </w:r>
    </w:p>
    <w:p w14:paraId="7CA3D638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45E267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advice id, application ref   |</w:t>
      </w:r>
    </w:p>
    <w:p w14:paraId="1AF59FE2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5C036AF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|     Outputs | download URL, product amount |</w:t>
      </w:r>
    </w:p>
    <w:p w14:paraId="0A2BFCC6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40D245" w14:textId="77777777" w:rsidR="00E44885" w:rsidRDefault="00E44885" w:rsidP="00E23EE7">
      <w:pPr>
        <w:pStyle w:val="PlainText"/>
        <w:ind w:right="1127"/>
        <w:rPr>
          <w:lang w:val="en-GB"/>
        </w:rPr>
      </w:pPr>
    </w:p>
    <w:p w14:paraId="136199BE" w14:textId="4B948DB6" w:rsidR="00E23EE7" w:rsidRDefault="00E23EE7" w:rsidP="00E44885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All values are in the corresponding product units</w:t>
      </w:r>
      <w:r w:rsidR="005D7C43"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641671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641671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336B4E2B" w14:textId="77777777" w:rsidR="00E44885" w:rsidRPr="00E95C18" w:rsidRDefault="00E44885" w:rsidP="00E44885">
      <w:pPr>
        <w:pStyle w:val="PlainText"/>
        <w:ind w:right="1127"/>
        <w:rPr>
          <w:lang w:val="en-GB"/>
        </w:rPr>
      </w:pPr>
    </w:p>
    <w:p w14:paraId="49CF64EC" w14:textId="024B5C9D" w:rsidR="00832076" w:rsidRPr="00E95C18" w:rsidRDefault="00C62F66" w:rsidP="00832076">
      <w:pPr>
        <w:pStyle w:val="PlainText"/>
        <w:ind w:right="1127"/>
        <w:rPr>
          <w:lang w:val="en-GB"/>
        </w:rPr>
      </w:pPr>
      <w:r>
        <w:rPr>
          <w:lang w:val="en-GB"/>
        </w:rPr>
        <w:t>F</w:t>
      </w:r>
      <w:r w:rsidR="00E23EE7" w:rsidRPr="00E95C18">
        <w:rPr>
          <w:lang w:val="en-GB"/>
        </w:rPr>
        <w:t xml:space="preserve">or maximum accuracy, the application map </w:t>
      </w:r>
      <w:r w:rsidR="00E44885">
        <w:rPr>
          <w:lang w:val="en-GB"/>
        </w:rPr>
        <w:t>is</w:t>
      </w:r>
      <w:r w:rsidR="00E23EE7" w:rsidRPr="00E95C18">
        <w:rPr>
          <w:lang w:val="en-GB"/>
        </w:rPr>
        <w:t xml:space="preserve"> requested in a "just-in-time" fashion by the </w:t>
      </w:r>
      <w:r w:rsidR="00183BC5">
        <w:rPr>
          <w:lang w:val="en-GB"/>
        </w:rPr>
        <w:t>ATLAS Equipment Centre</w:t>
      </w:r>
      <w:r>
        <w:rPr>
          <w:lang w:val="en-GB"/>
        </w:rPr>
        <w:t xml:space="preserve"> (or any other consumer) to give an opportunity to advisors to </w:t>
      </w:r>
      <w:proofErr w:type="gramStart"/>
      <w:r>
        <w:rPr>
          <w:lang w:val="en-GB"/>
        </w:rPr>
        <w:t>make adjustments to</w:t>
      </w:r>
      <w:proofErr w:type="gramEnd"/>
      <w:r>
        <w:rPr>
          <w:lang w:val="en-GB"/>
        </w:rPr>
        <w:t xml:space="preserve"> their pre-computed preparation</w:t>
      </w:r>
      <w:r w:rsidR="00832076" w:rsidRPr="00E95C18">
        <w:rPr>
          <w:lang w:val="en-GB"/>
        </w:rPr>
        <w:t>.</w:t>
      </w:r>
      <w:r w:rsidR="000F4774">
        <w:rPr>
          <w:lang w:val="en-GB"/>
        </w:rPr>
        <w:t xml:space="preserve"> However, since this information is usually requested just as farmers are about to go out on the field to perform a task, it is important that it is computed in a short time</w:t>
      </w:r>
      <w:r w:rsidR="0090509B">
        <w:rPr>
          <w:lang w:val="en-GB"/>
        </w:rPr>
        <w:t xml:space="preserve"> (maximum, few seconds)</w:t>
      </w:r>
      <w:r w:rsidR="000F4774">
        <w:rPr>
          <w:lang w:val="en-GB"/>
        </w:rPr>
        <w:t xml:space="preserve">. Any </w:t>
      </w:r>
      <w:r w:rsidR="0090509B">
        <w:rPr>
          <w:lang w:val="en-GB"/>
        </w:rPr>
        <w:t xml:space="preserve">potentially </w:t>
      </w:r>
      <w:r w:rsidR="000F4774">
        <w:rPr>
          <w:lang w:val="en-GB"/>
        </w:rPr>
        <w:t>time</w:t>
      </w:r>
      <w:r w:rsidR="002D5101">
        <w:rPr>
          <w:lang w:val="en-GB"/>
        </w:rPr>
        <w:t>-</w:t>
      </w:r>
      <w:r w:rsidR="000F4774">
        <w:rPr>
          <w:lang w:val="en-GB"/>
        </w:rPr>
        <w:t xml:space="preserve">consuming processing </w:t>
      </w:r>
      <w:r w:rsidR="0090509B">
        <w:rPr>
          <w:lang w:val="en-GB"/>
        </w:rPr>
        <w:t>must</w:t>
      </w:r>
      <w:r w:rsidR="000F4774">
        <w:rPr>
          <w:lang w:val="en-GB"/>
        </w:rPr>
        <w:t xml:space="preserve"> </w:t>
      </w:r>
      <w:r w:rsidR="0090509B">
        <w:rPr>
          <w:lang w:val="en-GB"/>
        </w:rPr>
        <w:t>be</w:t>
      </w:r>
      <w:r w:rsidR="000F4774">
        <w:rPr>
          <w:lang w:val="en-GB"/>
        </w:rPr>
        <w:t xml:space="preserve"> pre-computed and cached internally </w:t>
      </w:r>
      <w:r w:rsidR="0090509B">
        <w:rPr>
          <w:lang w:val="en-GB"/>
        </w:rPr>
        <w:t>during the registration and/or</w:t>
      </w:r>
      <w:r w:rsidR="000F4774">
        <w:rPr>
          <w:lang w:val="en-GB"/>
        </w:rPr>
        <w:t xml:space="preserve"> preparation stage</w:t>
      </w:r>
      <w:r w:rsidR="0090509B">
        <w:rPr>
          <w:lang w:val="en-GB"/>
        </w:rPr>
        <w:t>s</w:t>
      </w:r>
      <w:r w:rsidR="000F4774">
        <w:rPr>
          <w:lang w:val="en-GB"/>
        </w:rPr>
        <w:t>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23" w:name="_Toc102581233"/>
      <w:r w:rsidRPr="00E95C18">
        <w:rPr>
          <w:lang w:val="en-GB"/>
        </w:rPr>
        <w:t>Data Formats</w:t>
      </w:r>
      <w:bookmarkEnd w:id="23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243FDEFF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4" w:name="_Ref74554621"/>
      <w:bookmarkStart w:id="25" w:name="_Ref84948993"/>
      <w:bookmarkStart w:id="26" w:name="_Ref84948997"/>
      <w:bookmarkStart w:id="27" w:name="_Toc102581234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4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5"/>
      <w:bookmarkEnd w:id="26"/>
      <w:bookmarkEnd w:id="27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18BDD39E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Nutrient Application data MUST be in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(</w:t>
      </w:r>
      <w:hyperlink r:id="rId11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proofErr w:type="spellStart"/>
      <w:r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59BBED5C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proofErr w:type="spellStart"/>
      <w:r w:rsidR="00076090">
        <w:rPr>
          <w:lang w:val="en-GB"/>
        </w:rPr>
        <w:t>drilling</w:t>
      </w:r>
      <w:r w:rsidR="001B4ECD">
        <w:rPr>
          <w:lang w:val="en-GB"/>
        </w:rPr>
        <w:t>_application</w:t>
      </w:r>
      <w:proofErr w:type="spellEnd"/>
      <w:r w:rsidRPr="00DC0A25">
        <w:rPr>
          <w:lang w:val="en-GB"/>
        </w:rPr>
        <w:t xml:space="preserve">"      </w:t>
      </w:r>
      <w:r w:rsidR="00076090">
        <w:rPr>
          <w:lang w:val="en-GB"/>
        </w:rPr>
        <w:t xml:space="preserve">     </w:t>
      </w:r>
      <w:r w:rsidRPr="00DC0A25">
        <w:rPr>
          <w:lang w:val="en-GB"/>
        </w:rPr>
        <w:t>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</w:t>
      </w:r>
      <w:proofErr w:type="spellStart"/>
      <w:r w:rsidRPr="00DC0A25"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4DBE7305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41671">
        <w:rPr>
          <w:lang w:val="en-GB"/>
        </w:rPr>
        <w:t>drilling_advisor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="00D0096D">
        <w:rPr>
          <w:lang w:val="en-GB"/>
        </w:rPr>
        <w:t>application</w:t>
      </w:r>
      <w:r w:rsidRPr="00E95C18">
        <w:rPr>
          <w:lang w:val="en-GB"/>
        </w:rPr>
        <w:t>_info</w:t>
      </w:r>
      <w:proofErr w:type="spellEnd"/>
      <w:r w:rsidRPr="00E95C18">
        <w:rPr>
          <w:lang w:val="en-GB"/>
        </w:rPr>
        <w:t>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lastRenderedPageBreak/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</w:t>
      </w:r>
      <w:proofErr w:type="spellStart"/>
      <w:r w:rsidRPr="00E82AC7">
        <w:rPr>
          <w:lang w:val="en-GB"/>
        </w:rPr>
        <w:t>GeoPackage</w:t>
      </w:r>
      <w:proofErr w:type="spellEnd"/>
      <w:r w:rsidRPr="00E82AC7">
        <w:rPr>
          <w:lang w:val="en-GB"/>
        </w:rPr>
        <w:t xml:space="preserve">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Instead, 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zoom_level</w:t>
      </w:r>
      <w:proofErr w:type="spellEnd"/>
      <w:r w:rsidRPr="00E82AC7">
        <w:rPr>
          <w:lang w:val="en-GB"/>
        </w:rPr>
        <w:t xml:space="preserve">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tile_column</w:t>
      </w:r>
      <w:proofErr w:type="spellEnd"/>
      <w:r w:rsidRPr="00E82AC7">
        <w:rPr>
          <w:lang w:val="en-GB"/>
        </w:rPr>
        <w:t xml:space="preserve">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tile_row</w:t>
      </w:r>
      <w:proofErr w:type="spellEnd"/>
      <w:r w:rsidRPr="00E82AC7">
        <w:rPr>
          <w:lang w:val="en-GB"/>
        </w:rPr>
        <w:t xml:space="preserve">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6EA2058E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is a tiff blob holding Float32 values as per </w:t>
      </w:r>
      <w:proofErr w:type="spellStart"/>
      <w:r>
        <w:rPr>
          <w:lang w:val="en-GB"/>
        </w:rPr>
        <w:t>GeoPackage</w:t>
      </w:r>
      <w:proofErr w:type="spellEnd"/>
      <w:r>
        <w:rPr>
          <w:lang w:val="en-GB"/>
        </w:rPr>
        <w:t xml:space="preserve"> specifications ( </w:t>
      </w:r>
      <w:hyperlink r:id="rId12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>TABLE</w:t>
      </w:r>
      <w:proofErr w:type="gramEnd"/>
      <w:r w:rsidRPr="00DC0A25">
        <w:rPr>
          <w:lang w:val="en-GB"/>
        </w:rPr>
        <w:t xml:space="preserve"> </w:t>
      </w:r>
      <w:proofErr w:type="spellStart"/>
      <w:r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proofErr w:type="gramStart"/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  <w:proofErr w:type="gramEnd"/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           TABLE </w:t>
      </w:r>
      <w:proofErr w:type="spellStart"/>
      <w:r w:rsidRPr="00DC0A25"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</w:t>
      </w:r>
      <w:proofErr w:type="spellStart"/>
      <w:r w:rsidRPr="00DC0A25">
        <w:rPr>
          <w:lang w:val="en-GB"/>
        </w:rPr>
        <w:t>yyyy-MM-ddTHH:</w:t>
      </w:r>
      <w:proofErr w:type="gramStart"/>
      <w:r w:rsidRPr="00DC0A25">
        <w:rPr>
          <w:lang w:val="en-GB"/>
        </w:rPr>
        <w:t>mm:ssZ</w:t>
      </w:r>
      <w:proofErr w:type="spellEnd"/>
      <w:proofErr w:type="gramEnd"/>
      <w:r w:rsidRPr="00DC0A25">
        <w:rPr>
          <w:lang w:val="en-GB"/>
        </w:rPr>
        <w:t>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info        | </w:t>
      </w:r>
      <w:r>
        <w:rPr>
          <w:lang w:val="en-GB"/>
        </w:rPr>
        <w:t>"&lt;</w:t>
      </w:r>
      <w:proofErr w:type="spellStart"/>
      <w:r>
        <w:rPr>
          <w:lang w:val="en-GB"/>
        </w:rPr>
        <w:t>application_info_json</w:t>
      </w:r>
      <w:proofErr w:type="spellEnd"/>
      <w:r>
        <w:rPr>
          <w:lang w:val="en-GB"/>
        </w:rPr>
        <w:t>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lastRenderedPageBreak/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 xml:space="preserve">|   "product":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</w:t>
      </w:r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</w:t>
      </w:r>
      <w:proofErr w:type="spellStart"/>
      <w:r w:rsidRPr="00DC0A25">
        <w:rPr>
          <w:lang w:val="en-GB"/>
        </w:rPr>
        <w:t>kg|l</w:t>
      </w:r>
      <w:proofErr w:type="spellEnd"/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</w:t>
      </w:r>
      <w:proofErr w:type="spellStart"/>
      <w:r>
        <w:rPr>
          <w:lang w:val="en-GB"/>
        </w:rPr>
        <w:t>amount_in_product_unit</w:t>
      </w:r>
      <w:proofErr w:type="spellEnd"/>
      <w:proofErr w:type="gramStart"/>
      <w:r>
        <w:rPr>
          <w:lang w:val="en-GB"/>
        </w:rPr>
        <w:t>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</w:t>
      </w:r>
      <w:proofErr w:type="gramEnd"/>
      <w:r>
        <w:rPr>
          <w:lang w:val="en-GB"/>
        </w:rPr>
        <w:t xml:space="preserve">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 xml:space="preserve">|      "nutrients":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"N":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>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proofErr w:type="spellStart"/>
      <w:proofErr w:type="gramStart"/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</w:t>
      </w:r>
      <w:proofErr w:type="gramEnd"/>
      <w:r w:rsidR="00017D10">
        <w:rPr>
          <w:lang w:val="en-GB"/>
        </w:rPr>
        <w:t>.</w:t>
      </w:r>
      <w:r w:rsidRPr="00E95C18">
        <w:rPr>
          <w:lang w:val="en-GB"/>
        </w:rPr>
        <w:t>unit</w:t>
      </w:r>
      <w:proofErr w:type="spellEnd"/>
      <w:r w:rsidRPr="00E95C18">
        <w:rPr>
          <w:lang w:val="en-GB"/>
        </w:rPr>
        <w:t>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8" w:name="_Toc102581235"/>
      <w:r w:rsidRPr="00E95C18">
        <w:rPr>
          <w:lang w:val="en-GB"/>
        </w:rPr>
        <w:t>Access and Authentication</w:t>
      </w:r>
      <w:bookmarkEnd w:id="28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481E48FC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</w:t>
      </w:r>
      <w:r w:rsidR="00D1697E">
        <w:rPr>
          <w:lang w:val="en-GB"/>
        </w:rPr>
        <w:t xml:space="preserve">an advisor </w:t>
      </w:r>
      <w:r w:rsidRPr="00E95C18">
        <w:rPr>
          <w:lang w:val="en-GB"/>
        </w:rPr>
        <w:t xml:space="preserve">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>. The service implementor is responsible 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0E62A442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D1697E">
        <w:rPr>
          <w:lang w:val="en-GB"/>
        </w:rPr>
        <w:t xml:space="preserve">advisor </w:t>
      </w:r>
      <w:r w:rsidRPr="00E95C18">
        <w:rPr>
          <w:lang w:val="en-GB"/>
        </w:rPr>
        <w:t>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>may be</w:t>
      </w:r>
      <w:r w:rsidRPr="00E95C18">
        <w:rPr>
          <w:lang w:val="en-GB"/>
        </w:rPr>
        <w:t xml:space="preserve"> considered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9" w:name="_Toc102581236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9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30" w:name="_Toc102581237"/>
      <w:r w:rsidRPr="00E95C18">
        <w:rPr>
          <w:lang w:val="en-GB"/>
        </w:rPr>
        <w:lastRenderedPageBreak/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30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7705999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</w:t>
      </w:r>
      <w:r w:rsidR="00E44885">
        <w:rPr>
          <w:lang w:val="en-GB"/>
        </w:rPr>
        <w:t>Fertilisation</w:t>
      </w:r>
      <w:r w:rsidRPr="00E95C18">
        <w:rPr>
          <w:lang w:val="en-GB"/>
        </w:rPr>
        <w:t xml:space="preserve">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</w:t>
      </w:r>
      <w:proofErr w:type="gramStart"/>
      <w:r w:rsidR="00814B8B" w:rsidRPr="00E95C18">
        <w:rPr>
          <w:lang w:val="en-GB"/>
        </w:rPr>
        <w:t>advices</w:t>
      </w:r>
      <w:proofErr w:type="gramEnd"/>
      <w:r w:rsidR="00814B8B" w:rsidRPr="00E95C18">
        <w:rPr>
          <w:lang w:val="en-GB"/>
        </w:rPr>
        <w:t xml:space="preserve">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35D7DD29" w14:textId="4F0A768D" w:rsidR="00CD1E47" w:rsidRDefault="00CD1E47" w:rsidP="00CD1E47">
      <w:pPr>
        <w:jc w:val="center"/>
      </w:pPr>
      <w:r>
        <w:rPr>
          <w:noProof/>
          <w:lang w:val="en-GB"/>
        </w:rPr>
        <w:drawing>
          <wp:inline distT="0" distB="0" distL="0" distR="0" wp14:anchorId="3FFF07B7" wp14:editId="235A01F9">
            <wp:extent cx="6116320" cy="3418205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B334" w14:textId="6CAAE5CB" w:rsidR="001B7FCC" w:rsidRPr="001B0210" w:rsidRDefault="001B7FCC" w:rsidP="00814B8B"/>
    <w:p w14:paraId="21EBBC83" w14:textId="49C53D49" w:rsidR="001376DB" w:rsidRPr="00E95C18" w:rsidRDefault="00487BE7" w:rsidP="001376DB">
      <w:pPr>
        <w:pStyle w:val="Heading2"/>
        <w:ind w:right="1127"/>
        <w:rPr>
          <w:lang w:val="en-GB"/>
        </w:rPr>
      </w:pPr>
      <w:bookmarkStart w:id="31" w:name="_Ref101534563"/>
      <w:bookmarkStart w:id="32" w:name="_Toc102581238"/>
      <w:r>
        <w:rPr>
          <w:lang w:val="en-GB"/>
        </w:rPr>
        <w:t>Field Registration</w:t>
      </w:r>
      <w:bookmarkEnd w:id="31"/>
      <w:bookmarkEnd w:id="32"/>
    </w:p>
    <w:p w14:paraId="6BABBA04" w14:textId="79D6BA07" w:rsidR="001376DB" w:rsidRDefault="001376DB" w:rsidP="001376DB">
      <w:pPr>
        <w:pStyle w:val="PlainText"/>
        <w:rPr>
          <w:lang w:val="en-GB"/>
        </w:rPr>
      </w:pPr>
    </w:p>
    <w:p w14:paraId="3DAB98FA" w14:textId="5CB71343" w:rsidR="00487BE7" w:rsidRPr="00E95C18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There are two methods for determining whether </w:t>
      </w:r>
      <w:r>
        <w:rPr>
          <w:lang w:val="en-GB"/>
        </w:rPr>
        <w:t>a field registration</w:t>
      </w:r>
      <w:r w:rsidRPr="00E95C18">
        <w:rPr>
          <w:lang w:val="en-GB"/>
        </w:rPr>
        <w:t xml:space="preserve"> has completed (successfully or unsuccessfully): by polling the </w:t>
      </w:r>
      <w:proofErr w:type="spellStart"/>
      <w:r>
        <w:rPr>
          <w:lang w:val="en-GB"/>
        </w:rPr>
        <w:t>registration_info</w:t>
      </w:r>
      <w:proofErr w:type="spellEnd"/>
      <w:r>
        <w:rPr>
          <w:lang w:val="en-GB"/>
        </w:rPr>
        <w:t xml:space="preserve"> endpoint</w:t>
      </w:r>
      <w:r w:rsidRPr="00E95C18">
        <w:rPr>
          <w:lang w:val="en-GB"/>
        </w:rPr>
        <w:t xml:space="preserve"> or by notification.</w:t>
      </w:r>
    </w:p>
    <w:p w14:paraId="4A94FA80" w14:textId="77777777" w:rsidR="00487BE7" w:rsidRPr="00E95C18" w:rsidRDefault="00487BE7" w:rsidP="00487BE7">
      <w:pPr>
        <w:pStyle w:val="PlainText"/>
        <w:rPr>
          <w:lang w:val="en-GB"/>
        </w:rPr>
      </w:pPr>
    </w:p>
    <w:p w14:paraId="505AE4C1" w14:textId="77777777" w:rsidR="00487BE7" w:rsidRPr="00E95C18" w:rsidRDefault="00487BE7" w:rsidP="00487BE7">
      <w:pPr>
        <w:pStyle w:val="Heading3"/>
        <w:rPr>
          <w:lang w:val="en-GB"/>
        </w:rPr>
      </w:pPr>
      <w:bookmarkStart w:id="33" w:name="_Toc102581239"/>
      <w:r w:rsidRPr="00E95C18">
        <w:rPr>
          <w:lang w:val="en-GB"/>
        </w:rPr>
        <w:t>Polling</w:t>
      </w:r>
      <w:bookmarkEnd w:id="33"/>
    </w:p>
    <w:p w14:paraId="4A069B4D" w14:textId="77777777" w:rsidR="00487BE7" w:rsidRPr="00E95C18" w:rsidRDefault="00487BE7" w:rsidP="00487BE7">
      <w:pPr>
        <w:pStyle w:val="PlainText"/>
        <w:rPr>
          <w:lang w:val="en-GB"/>
        </w:rPr>
      </w:pPr>
    </w:p>
    <w:p w14:paraId="7A80B4FB" w14:textId="70916FDC" w:rsidR="00487BE7" w:rsidRDefault="00487BE7" w:rsidP="00487BE7">
      <w:pPr>
        <w:pStyle w:val="PlainText"/>
        <w:rPr>
          <w:lang w:val="en-GB"/>
        </w:rPr>
      </w:pPr>
      <w:r w:rsidRPr="00E95C18">
        <w:rPr>
          <w:lang w:val="en-GB"/>
        </w:rPr>
        <w:t xml:space="preserve">After requesting a </w:t>
      </w:r>
      <w:r>
        <w:rPr>
          <w:lang w:val="en-GB"/>
        </w:rPr>
        <w:t>field registration</w:t>
      </w:r>
      <w:r w:rsidRPr="00E95C18">
        <w:rPr>
          <w:lang w:val="en-GB"/>
        </w:rPr>
        <w:t xml:space="preserve">, the client polls </w:t>
      </w:r>
      <w:proofErr w:type="spellStart"/>
      <w:r>
        <w:rPr>
          <w:lang w:val="en-GB"/>
        </w:rPr>
        <w:t>registration_info</w:t>
      </w:r>
      <w:proofErr w:type="spellEnd"/>
      <w:r>
        <w:rPr>
          <w:lang w:val="en-GB"/>
        </w:rPr>
        <w:t xml:space="preserve"> </w:t>
      </w:r>
      <w:r w:rsidRPr="00E95C18">
        <w:rPr>
          <w:lang w:val="en-GB"/>
        </w:rPr>
        <w:t>e</w:t>
      </w:r>
      <w:r>
        <w:rPr>
          <w:lang w:val="en-GB"/>
        </w:rPr>
        <w:t>ndpoint</w:t>
      </w:r>
      <w:r w:rsidRPr="00E95C18">
        <w:rPr>
          <w:lang w:val="en-GB"/>
        </w:rPr>
        <w:t xml:space="preserve"> at regular intervals until the returned status is </w:t>
      </w:r>
      <w:r w:rsidR="009E2F7A">
        <w:rPr>
          <w:lang w:val="en-GB"/>
        </w:rPr>
        <w:t xml:space="preserve">CONFIGURATION_REQUIRED, </w:t>
      </w:r>
      <w:r w:rsidRPr="00E95C18">
        <w:rPr>
          <w:lang w:val="en-GB"/>
        </w:rPr>
        <w:t>READY or FAILED.</w:t>
      </w:r>
    </w:p>
    <w:p w14:paraId="167D4F79" w14:textId="605E94DF" w:rsidR="00CD1E47" w:rsidRDefault="00CD1E47" w:rsidP="00487BE7">
      <w:pPr>
        <w:pStyle w:val="PlainText"/>
        <w:rPr>
          <w:lang w:val="en-GB"/>
        </w:rPr>
      </w:pPr>
    </w:p>
    <w:p w14:paraId="27820688" w14:textId="424148E0" w:rsidR="00CD1E47" w:rsidRDefault="00CD1E47" w:rsidP="00B92DB8">
      <w:pPr>
        <w:pStyle w:val="PlainText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D959F6D" wp14:editId="50120192">
            <wp:extent cx="5577840" cy="2573655"/>
            <wp:effectExtent l="0" t="0" r="0" b="0"/>
            <wp:docPr id="20" name="Picture 2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037C" w14:textId="77777777" w:rsidR="00487BE7" w:rsidRDefault="00487BE7" w:rsidP="00487BE7">
      <w:pPr>
        <w:pStyle w:val="PlainText"/>
        <w:rPr>
          <w:lang w:val="en-GB"/>
        </w:rPr>
      </w:pPr>
    </w:p>
    <w:p w14:paraId="5BD6CA1A" w14:textId="0B08EDA4" w:rsidR="00487BE7" w:rsidRPr="00CD1E47" w:rsidRDefault="009E2F7A" w:rsidP="00CD1E47">
      <w:pPr>
        <w:pStyle w:val="PlainText"/>
        <w:rPr>
          <w:lang w:val="en-GB"/>
        </w:rPr>
      </w:pPr>
      <w:r>
        <w:rPr>
          <w:lang w:val="en-GB"/>
        </w:rPr>
        <w:t>A</w:t>
      </w:r>
      <w:r w:rsidR="007A6686">
        <w:rPr>
          <w:lang w:val="en-GB"/>
        </w:rPr>
        <w:t xml:space="preserve"> </w:t>
      </w:r>
      <w:r w:rsidR="00974668">
        <w:rPr>
          <w:lang w:val="en-GB"/>
        </w:rPr>
        <w:t xml:space="preserve">CONFIGURATION_REQUIRED </w:t>
      </w:r>
      <w:r>
        <w:rPr>
          <w:lang w:val="en-GB"/>
        </w:rPr>
        <w:t>status</w:t>
      </w:r>
      <w:r w:rsidR="00974668">
        <w:rPr>
          <w:lang w:val="en-GB"/>
        </w:rPr>
        <w:t xml:space="preserve"> indicates that a user action is required on the user interface of the advisor</w:t>
      </w:r>
      <w:r w:rsidR="00487BE7">
        <w:rPr>
          <w:lang w:val="en-GB"/>
        </w:rPr>
        <w:t xml:space="preserve">. By convention, in case of CONFIGURATION_REQUIRED status, the </w:t>
      </w:r>
      <w:r>
        <w:rPr>
          <w:lang w:val="en-GB"/>
        </w:rPr>
        <w:t>advisor</w:t>
      </w:r>
      <w:r w:rsidR="00487BE7">
        <w:rPr>
          <w:lang w:val="en-GB"/>
        </w:rPr>
        <w:t xml:space="preserve"> </w:t>
      </w:r>
      <w:r>
        <w:rPr>
          <w:lang w:val="en-GB"/>
        </w:rPr>
        <w:t>MAY</w:t>
      </w:r>
      <w:r w:rsidR="00487BE7">
        <w:rPr>
          <w:lang w:val="en-GB"/>
        </w:rPr>
        <w:t xml:space="preserve"> return a browser URL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5A1431B1" w14:textId="77777777" w:rsidR="00487BE7" w:rsidRPr="00E95C18" w:rsidRDefault="00487BE7" w:rsidP="00487BE7">
      <w:pPr>
        <w:rPr>
          <w:lang w:val="en-GB"/>
        </w:rPr>
      </w:pPr>
    </w:p>
    <w:p w14:paraId="53C342DE" w14:textId="77777777" w:rsidR="00487BE7" w:rsidRPr="00E95C18" w:rsidRDefault="00487BE7" w:rsidP="00487BE7">
      <w:pPr>
        <w:pStyle w:val="Heading3"/>
        <w:ind w:right="1127"/>
        <w:rPr>
          <w:lang w:val="en-GB"/>
        </w:rPr>
      </w:pPr>
      <w:bookmarkStart w:id="34" w:name="_Toc102581240"/>
      <w:r w:rsidRPr="00E95C18">
        <w:rPr>
          <w:lang w:val="en-GB"/>
        </w:rPr>
        <w:t>Notification</w:t>
      </w:r>
      <w:bookmarkEnd w:id="34"/>
    </w:p>
    <w:p w14:paraId="04E92A40" w14:textId="26694D37" w:rsidR="00487BE7" w:rsidRDefault="00487BE7" w:rsidP="00487BE7">
      <w:pPr>
        <w:pStyle w:val="PlainText"/>
        <w:rPr>
          <w:lang w:val="en-GB"/>
        </w:rPr>
      </w:pPr>
    </w:p>
    <w:p w14:paraId="69E35B32" w14:textId="4DD09FB1" w:rsidR="00B460F1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>
        <w:rPr>
          <w:lang w:val="en-GB"/>
        </w:rPr>
        <w:t>register_field</w:t>
      </w:r>
      <w:proofErr w:type="spellEnd"/>
      <w:r w:rsidRPr="00E95C18">
        <w:rPr>
          <w:lang w:val="en-GB"/>
        </w:rPr>
        <w:t xml:space="preserve">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 xml:space="preserve">when the </w:t>
      </w:r>
      <w:r>
        <w:rPr>
          <w:lang w:val="en-GB"/>
        </w:rPr>
        <w:t>registration</w:t>
      </w:r>
      <w:r w:rsidRPr="00E95C18">
        <w:rPr>
          <w:lang w:val="en-GB"/>
        </w:rPr>
        <w:t xml:space="preserve"> status changes.</w:t>
      </w:r>
    </w:p>
    <w:p w14:paraId="30C3FD90" w14:textId="77777777" w:rsidR="00B460F1" w:rsidRPr="00E95C18" w:rsidRDefault="00B460F1" w:rsidP="00487BE7">
      <w:pPr>
        <w:pStyle w:val="PlainText"/>
        <w:rPr>
          <w:lang w:val="en-GB"/>
        </w:rPr>
      </w:pPr>
    </w:p>
    <w:p w14:paraId="79F8214F" w14:textId="617606FC" w:rsidR="00BB075C" w:rsidRPr="00B460F1" w:rsidRDefault="00CD1E47" w:rsidP="00CD1E47">
      <w:pPr>
        <w:jc w:val="center"/>
      </w:pPr>
      <w:r>
        <w:rPr>
          <w:noProof/>
        </w:rPr>
        <w:drawing>
          <wp:inline distT="0" distB="0" distL="0" distR="0" wp14:anchorId="67999E4D" wp14:editId="17021C18">
            <wp:extent cx="5577840" cy="2573655"/>
            <wp:effectExtent l="0" t="0" r="0" b="0"/>
            <wp:docPr id="21" name="Picture 2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B6CB" w14:textId="77777777" w:rsidR="00BB075C" w:rsidRDefault="00BB075C" w:rsidP="00BB075C">
      <w:pPr>
        <w:pStyle w:val="PlainText"/>
        <w:rPr>
          <w:lang w:val="en-GB"/>
        </w:rPr>
      </w:pPr>
    </w:p>
    <w:p w14:paraId="69C93713" w14:textId="26280BB4" w:rsidR="00BB075C" w:rsidRDefault="00BB075C" w:rsidP="00BB075C">
      <w:pPr>
        <w:pStyle w:val="PlainText"/>
        <w:rPr>
          <w:lang w:val="en-GB"/>
        </w:rPr>
      </w:pPr>
      <w:r>
        <w:rPr>
          <w:lang w:val="en-GB"/>
        </w:rPr>
        <w:t>Advanced advisors may have the ability to monitor conditions on registered fields in the background and proactively generate an advice recommendation request on the notification URL provided at field registration.</w:t>
      </w:r>
    </w:p>
    <w:p w14:paraId="6955BAC6" w14:textId="77777777" w:rsidR="00780FE3" w:rsidRDefault="00780FE3" w:rsidP="00BB075C">
      <w:pPr>
        <w:pStyle w:val="PlainText"/>
        <w:rPr>
          <w:lang w:val="en-GB"/>
        </w:rPr>
      </w:pPr>
    </w:p>
    <w:p w14:paraId="01D13DF8" w14:textId="5B930E6D" w:rsidR="00487BE7" w:rsidRPr="00E44885" w:rsidRDefault="001D382C" w:rsidP="00E44885">
      <w:pPr>
        <w:jc w:val="center"/>
      </w:pPr>
      <w:r>
        <w:rPr>
          <w:noProof/>
        </w:rPr>
        <w:lastRenderedPageBreak/>
        <w:drawing>
          <wp:inline distT="0" distB="0" distL="0" distR="0" wp14:anchorId="1186E2B9" wp14:editId="571C2634">
            <wp:extent cx="5577840" cy="1776730"/>
            <wp:effectExtent l="0" t="0" r="0" b="0"/>
            <wp:docPr id="23" name="Picture 2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0BAA" w14:textId="34658E5A" w:rsidR="00487BE7" w:rsidRPr="00E95C18" w:rsidRDefault="00487BE7" w:rsidP="00487BE7">
      <w:pPr>
        <w:pStyle w:val="PlainText"/>
        <w:rPr>
          <w:lang w:val="en-GB"/>
        </w:rPr>
      </w:pPr>
      <w:r>
        <w:rPr>
          <w:lang w:val="en-GB"/>
        </w:rPr>
        <w:t>Advisors</w:t>
      </w:r>
      <w:r w:rsidRPr="00E95C18">
        <w:rPr>
          <w:lang w:val="en-GB"/>
        </w:rPr>
        <w:t xml:space="preserve"> MUST invoke the notification URL supplied by the client with an HTTPS POST command.</w:t>
      </w:r>
      <w:r>
        <w:rPr>
          <w:lang w:val="en-GB"/>
        </w:rPr>
        <w:t xml:space="preserve"> </w:t>
      </w:r>
      <w:r w:rsidRPr="00E95C18">
        <w:rPr>
          <w:lang w:val="en-GB"/>
        </w:rPr>
        <w:t>The payload will be identical to the one that would be returned by a request</w:t>
      </w:r>
      <w:r w:rsidR="0022751D">
        <w:rPr>
          <w:lang w:val="en-GB"/>
        </w:rPr>
        <w:t xml:space="preserve"> to the </w:t>
      </w:r>
      <w:proofErr w:type="spellStart"/>
      <w:r w:rsidR="00E310BA">
        <w:rPr>
          <w:lang w:val="en-GB"/>
        </w:rPr>
        <w:t>registration</w:t>
      </w:r>
      <w:r w:rsidR="0022751D">
        <w:rPr>
          <w:lang w:val="en-GB"/>
        </w:rPr>
        <w:t>_info</w:t>
      </w:r>
      <w:proofErr w:type="spellEnd"/>
      <w:r w:rsidR="0022751D">
        <w:rPr>
          <w:lang w:val="en-GB"/>
        </w:rPr>
        <w:t xml:space="preserve"> endpoint</w:t>
      </w:r>
      <w:r w:rsidRPr="00E95C18">
        <w:rPr>
          <w:lang w:val="en-GB"/>
        </w:rPr>
        <w:t>.</w:t>
      </w:r>
    </w:p>
    <w:p w14:paraId="7D655CB3" w14:textId="6A2743FC" w:rsidR="004A3700" w:rsidRDefault="004A3700" w:rsidP="0072608D">
      <w:pPr>
        <w:pStyle w:val="PlainText"/>
        <w:ind w:left="0" w:right="1127"/>
        <w:rPr>
          <w:lang w:val="en-GB"/>
        </w:rPr>
      </w:pPr>
    </w:p>
    <w:p w14:paraId="33B73724" w14:textId="77777777" w:rsidR="00D4430B" w:rsidRPr="00E95C18" w:rsidRDefault="00D4430B" w:rsidP="00100C77">
      <w:pPr>
        <w:pStyle w:val="PlainText"/>
        <w:ind w:left="0" w:right="1127"/>
        <w:rPr>
          <w:lang w:val="en-GB"/>
        </w:rPr>
      </w:pPr>
    </w:p>
    <w:p w14:paraId="636FB72A" w14:textId="5E3FBDE1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35" w:name="_Ref101534528"/>
      <w:bookmarkStart w:id="36" w:name="_Ref101534531"/>
      <w:bookmarkStart w:id="37" w:name="_Toc102581241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1376DB">
        <w:rPr>
          <w:lang w:val="en-GB"/>
        </w:rPr>
        <w:t>Preparation</w:t>
      </w:r>
      <w:bookmarkEnd w:id="35"/>
      <w:bookmarkEnd w:id="36"/>
      <w:bookmarkEnd w:id="37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300DCC47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="00ED76D7">
        <w:rPr>
          <w:lang w:val="en-GB"/>
        </w:rPr>
        <w:t>advice_info</w:t>
      </w:r>
      <w:proofErr w:type="spellEnd"/>
      <w:r w:rsidR="00605E36">
        <w:rPr>
          <w:lang w:val="en-GB"/>
        </w:rPr>
        <w:t xml:space="preserve"> endpoint</w:t>
      </w:r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38" w:name="_Toc83742292"/>
      <w:bookmarkStart w:id="39" w:name="_Toc102581242"/>
      <w:r w:rsidRPr="00E95C18">
        <w:rPr>
          <w:lang w:val="en-GB"/>
        </w:rPr>
        <w:t>Polling</w:t>
      </w:r>
      <w:bookmarkEnd w:id="38"/>
      <w:bookmarkEnd w:id="39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7E55F6DC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>, the client polls</w:t>
      </w:r>
      <w:r w:rsidR="00487BE7">
        <w:rPr>
          <w:lang w:val="en-GB"/>
        </w:rPr>
        <w:t xml:space="preserve"> the</w:t>
      </w:r>
      <w:r w:rsidRPr="00E95C18">
        <w:rPr>
          <w:lang w:val="en-GB"/>
        </w:rPr>
        <w:t xml:space="preserve"> </w:t>
      </w:r>
      <w:proofErr w:type="spellStart"/>
      <w:r w:rsidR="00FA5AE9">
        <w:rPr>
          <w:lang w:val="en-GB"/>
        </w:rPr>
        <w:t>advice_info</w:t>
      </w:r>
      <w:proofErr w:type="spellEnd"/>
      <w:r w:rsidRPr="00E95C18">
        <w:rPr>
          <w:lang w:val="en-GB"/>
        </w:rPr>
        <w:t xml:space="preserve"> </w:t>
      </w:r>
      <w:r w:rsidR="00487BE7">
        <w:rPr>
          <w:lang w:val="en-GB"/>
        </w:rPr>
        <w:t xml:space="preserve">endpoint </w:t>
      </w:r>
      <w:r w:rsidRPr="00E95C18">
        <w:rPr>
          <w:lang w:val="en-GB"/>
        </w:rPr>
        <w:t>at regular intervals until the returned status is READY or FAILED.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509EC138" w:rsidR="009D63B3" w:rsidRDefault="007A6686" w:rsidP="00F17A30">
      <w:pPr>
        <w:pStyle w:val="PlainText"/>
        <w:rPr>
          <w:lang w:val="en-GB"/>
        </w:rPr>
      </w:pPr>
      <w:r>
        <w:rPr>
          <w:lang w:val="en-GB"/>
        </w:rPr>
        <w:t>The status may be CONFIGURATION_REQUIRED which indicates that a user action is required on the user interface of the advisor</w:t>
      </w:r>
      <w:r w:rsidR="009D63B3">
        <w:rPr>
          <w:lang w:val="en-GB"/>
        </w:rPr>
        <w:t xml:space="preserve">. By convention, in case of CONFIGURATION_REQUIRED status, the service </w:t>
      </w:r>
      <w:r w:rsidR="00605E36">
        <w:rPr>
          <w:lang w:val="en-GB"/>
        </w:rPr>
        <w:t>SHOULD</w:t>
      </w:r>
      <w:r w:rsidR="009D63B3">
        <w:rPr>
          <w:lang w:val="en-GB"/>
        </w:rPr>
        <w:t xml:space="preserve"> return a browser </w:t>
      </w:r>
      <w:r w:rsidR="00D1697E">
        <w:rPr>
          <w:lang w:val="en-GB"/>
        </w:rPr>
        <w:t>URL</w:t>
      </w:r>
      <w:r w:rsidR="009D63B3">
        <w:rPr>
          <w:lang w:val="en-GB"/>
        </w:rPr>
        <w:t xml:space="preserve"> to the location where a user can provide additional parameters (as required for a specific service implementation). It is the user interface of the </w:t>
      </w:r>
      <w:r w:rsidR="00302B62">
        <w:rPr>
          <w:lang w:val="en-GB"/>
        </w:rPr>
        <w:t>ADIS</w:t>
      </w:r>
      <w:r w:rsidR="009D63B3">
        <w:rPr>
          <w:lang w:val="en-GB"/>
        </w:rPr>
        <w:t xml:space="preserve"> originating the request to display an appropriate message to the end-user with a clickable link to the provided URL. </w:t>
      </w:r>
    </w:p>
    <w:p w14:paraId="75676991" w14:textId="77777777" w:rsidR="00B460F1" w:rsidRPr="00E95C18" w:rsidRDefault="00B460F1" w:rsidP="00F17A30">
      <w:pPr>
        <w:pStyle w:val="PlainText"/>
        <w:rPr>
          <w:lang w:val="en-GB"/>
        </w:rPr>
      </w:pPr>
    </w:p>
    <w:p w14:paraId="75CEDF37" w14:textId="7BE06E59" w:rsidR="00F17A30" w:rsidRPr="00AB181D" w:rsidRDefault="00302B62" w:rsidP="00BE154E">
      <w:pPr>
        <w:jc w:val="center"/>
      </w:pPr>
      <w:r>
        <w:rPr>
          <w:noProof/>
          <w:lang w:val="en-GB"/>
        </w:rPr>
        <w:drawing>
          <wp:inline distT="0" distB="0" distL="0" distR="0" wp14:anchorId="05702C34" wp14:editId="03F57F29">
            <wp:extent cx="5577840" cy="2560320"/>
            <wp:effectExtent l="0" t="0" r="0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29515164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40" w:name="_Toc83742293"/>
      <w:bookmarkStart w:id="41" w:name="_Toc102581243"/>
      <w:r w:rsidRPr="00E95C18">
        <w:rPr>
          <w:lang w:val="en-GB"/>
        </w:rPr>
        <w:lastRenderedPageBreak/>
        <w:t>Notifica</w:t>
      </w:r>
      <w:bookmarkEnd w:id="40"/>
      <w:r w:rsidR="001555F3" w:rsidRPr="00E95C18">
        <w:rPr>
          <w:lang w:val="en-GB"/>
        </w:rPr>
        <w:t>tion</w:t>
      </w:r>
      <w:bookmarkEnd w:id="41"/>
    </w:p>
    <w:p w14:paraId="7A827892" w14:textId="356DA231" w:rsidR="001555F3" w:rsidRDefault="001555F3" w:rsidP="001555F3">
      <w:pPr>
        <w:pStyle w:val="PlainText"/>
        <w:rPr>
          <w:lang w:val="en-GB"/>
        </w:rPr>
      </w:pPr>
    </w:p>
    <w:p w14:paraId="314471B3" w14:textId="77777777" w:rsidR="00B460F1" w:rsidRPr="00E95C18" w:rsidRDefault="00B460F1" w:rsidP="00B460F1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Pr="00E95C18">
        <w:rPr>
          <w:lang w:val="en-GB"/>
        </w:rPr>
        <w:t>prepare_advice</w:t>
      </w:r>
      <w:proofErr w:type="spellEnd"/>
      <w:r w:rsidRPr="00E95C18">
        <w:rPr>
          <w:lang w:val="en-GB"/>
        </w:rPr>
        <w:t xml:space="preserve"> </w:t>
      </w:r>
      <w:r>
        <w:rPr>
          <w:lang w:val="en-GB"/>
        </w:rPr>
        <w:t>endpoint</w:t>
      </w:r>
      <w:r w:rsidRPr="00E95C18">
        <w:rPr>
          <w:lang w:val="en-GB"/>
        </w:rPr>
        <w:t xml:space="preserve">, it will be invoked by the </w:t>
      </w:r>
      <w:r>
        <w:rPr>
          <w:lang w:val="en-GB"/>
        </w:rPr>
        <w:t xml:space="preserve">advisor </w:t>
      </w:r>
      <w:r w:rsidRPr="00E95C18">
        <w:rPr>
          <w:lang w:val="en-GB"/>
        </w:rPr>
        <w:t>when the preparation status changes.</w:t>
      </w:r>
    </w:p>
    <w:p w14:paraId="49F403D9" w14:textId="77777777" w:rsidR="00B460F1" w:rsidRPr="00E95C18" w:rsidRDefault="00B460F1" w:rsidP="001555F3">
      <w:pPr>
        <w:pStyle w:val="PlainText"/>
        <w:rPr>
          <w:lang w:val="en-GB"/>
        </w:rPr>
      </w:pPr>
    </w:p>
    <w:p w14:paraId="2BF9F642" w14:textId="1B49D2EB" w:rsidR="001555F3" w:rsidRPr="00B460F1" w:rsidRDefault="009E2F7A" w:rsidP="00B460F1">
      <w:pPr>
        <w:jc w:val="center"/>
      </w:pPr>
      <w:r>
        <w:rPr>
          <w:noProof/>
        </w:rPr>
        <w:drawing>
          <wp:inline distT="0" distB="0" distL="0" distR="0" wp14:anchorId="12C12B15" wp14:editId="3D9945C7">
            <wp:extent cx="5577840" cy="2573655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CAD58E8" w14:textId="2895ABDA" w:rsidR="00F17A30" w:rsidRDefault="00D1697E" w:rsidP="00D1697E">
      <w:pPr>
        <w:pStyle w:val="PlainText"/>
        <w:rPr>
          <w:lang w:val="en-GB"/>
        </w:rPr>
      </w:pPr>
      <w:r>
        <w:rPr>
          <w:lang w:val="en-GB"/>
        </w:rPr>
        <w:t>Advisors</w:t>
      </w:r>
      <w:r w:rsidR="00F17A30" w:rsidRPr="00E95C18">
        <w:rPr>
          <w:lang w:val="en-GB"/>
        </w:rPr>
        <w:t xml:space="preserve"> MUST invoke the notification URL supplied by the client with an HTTP</w:t>
      </w:r>
      <w:r w:rsidR="00F520A4" w:rsidRPr="00E95C18">
        <w:rPr>
          <w:lang w:val="en-GB"/>
        </w:rPr>
        <w:t>S</w:t>
      </w:r>
      <w:r w:rsidR="00F17A30" w:rsidRPr="00E95C18">
        <w:rPr>
          <w:lang w:val="en-GB"/>
        </w:rPr>
        <w:t xml:space="preserve"> POST command.</w:t>
      </w:r>
      <w:r>
        <w:rPr>
          <w:lang w:val="en-GB"/>
        </w:rPr>
        <w:t xml:space="preserve"> </w:t>
      </w:r>
      <w:r w:rsidR="00F17A30" w:rsidRPr="00E95C18">
        <w:rPr>
          <w:lang w:val="en-GB"/>
        </w:rPr>
        <w:t xml:space="preserve">The payload will be identical to the one that would be returned by </w:t>
      </w:r>
      <w:r w:rsidR="00AD7AC4">
        <w:rPr>
          <w:lang w:val="en-GB"/>
        </w:rPr>
        <w:t>the</w:t>
      </w:r>
      <w:r w:rsidR="00F17A30" w:rsidRPr="00E95C18">
        <w:rPr>
          <w:lang w:val="en-GB"/>
        </w:rPr>
        <w:t xml:space="preserve"> </w:t>
      </w:r>
      <w:proofErr w:type="spellStart"/>
      <w:r w:rsidR="00BE154E">
        <w:rPr>
          <w:lang w:val="en-GB"/>
        </w:rPr>
        <w:t>advice_info</w:t>
      </w:r>
      <w:proofErr w:type="spellEnd"/>
      <w:r w:rsidR="00F17A30" w:rsidRPr="00E95C18">
        <w:rPr>
          <w:lang w:val="en-GB"/>
        </w:rPr>
        <w:t xml:space="preserve"> request.</w:t>
      </w:r>
    </w:p>
    <w:p w14:paraId="425593AF" w14:textId="0D58F51E" w:rsidR="00F17A30" w:rsidRDefault="00F17A30" w:rsidP="006F2CC6">
      <w:pPr>
        <w:pStyle w:val="PlainText"/>
        <w:ind w:left="0" w:right="1127"/>
        <w:rPr>
          <w:lang w:val="en-GB"/>
        </w:rPr>
      </w:pPr>
    </w:p>
    <w:p w14:paraId="715751D8" w14:textId="68EA6C25" w:rsidR="0072608D" w:rsidRPr="00E95C18" w:rsidRDefault="0072608D" w:rsidP="0072608D">
      <w:pPr>
        <w:pStyle w:val="Heading2"/>
        <w:ind w:right="1127"/>
        <w:rPr>
          <w:lang w:val="en-GB"/>
        </w:rPr>
      </w:pPr>
      <w:bookmarkStart w:id="42" w:name="_Toc102581244"/>
      <w:r>
        <w:rPr>
          <w:lang w:val="en-GB"/>
        </w:rPr>
        <w:t>General Comments on Notifications</w:t>
      </w:r>
      <w:bookmarkEnd w:id="42"/>
    </w:p>
    <w:p w14:paraId="28C038FF" w14:textId="0141756C" w:rsidR="0072608D" w:rsidRDefault="0072608D" w:rsidP="00F17A30">
      <w:pPr>
        <w:pStyle w:val="PlainText"/>
        <w:ind w:right="1127"/>
        <w:rPr>
          <w:lang w:val="en-GB"/>
        </w:rPr>
      </w:pPr>
    </w:p>
    <w:p w14:paraId="56C1C844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632CC3C6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</w:p>
    <w:p w14:paraId="475F726C" w14:textId="77777777" w:rsidR="006F2CC6" w:rsidRPr="00E95C18" w:rsidRDefault="006F2CC6" w:rsidP="006F2CC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74254F3" w14:textId="77777777" w:rsidR="006F2CC6" w:rsidRPr="00E95C18" w:rsidRDefault="006F2CC6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>) Network error - the connection to the client's host (from notification URL) cannot be established. The service MUST 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A2EA2C9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</w:t>
      </w:r>
      <w:r w:rsidR="00AD7AC4">
        <w:rPr>
          <w:lang w:val="en-GB"/>
        </w:rPr>
        <w:t>,</w:t>
      </w:r>
      <w:r w:rsidRPr="00E95C18">
        <w:rPr>
          <w:lang w:val="en-GB"/>
        </w:rPr>
        <w:t xml:space="preserve">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09B6646" w14:textId="12A84D90" w:rsidR="00E95C18" w:rsidRPr="00E95C18" w:rsidRDefault="00F17A30" w:rsidP="00B94F5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sectPr w:rsidR="00E95C18" w:rsidRPr="00E95C18" w:rsidSect="00C5249D">
      <w:headerReference w:type="default" r:id="rId19"/>
      <w:footerReference w:type="even" r:id="rId20"/>
      <w:footerReference w:type="default" r:id="rId21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9568" w14:textId="77777777" w:rsidR="00257F44" w:rsidRDefault="00257F44" w:rsidP="00885AAF">
      <w:r>
        <w:separator/>
      </w:r>
    </w:p>
  </w:endnote>
  <w:endnote w:type="continuationSeparator" w:id="0">
    <w:p w14:paraId="279B31AB" w14:textId="77777777" w:rsidR="00257F44" w:rsidRDefault="00257F44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E593" w14:textId="77777777" w:rsidR="00257F44" w:rsidRDefault="00257F44" w:rsidP="00885AAF">
      <w:r>
        <w:separator/>
      </w:r>
    </w:p>
  </w:footnote>
  <w:footnote w:type="continuationSeparator" w:id="0">
    <w:p w14:paraId="16D99CE3" w14:textId="77777777" w:rsidR="00257F44" w:rsidRDefault="00257F44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093BE17A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proofErr w:type="spellStart"/>
    <w:r w:rsidR="005B5505">
      <w:rPr>
        <w:u w:val="single"/>
        <w:lang w:val="en-US"/>
      </w:rPr>
      <w:t>drilling_advisor</w:t>
    </w:r>
    <w:proofErr w:type="spellEnd"/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5B5505">
      <w:rPr>
        <w:u w:val="single"/>
        <w:lang w:val="en-US"/>
      </w:rPr>
      <w:t>0.0.1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5B5505">
      <w:rPr>
        <w:u w:val="single"/>
        <w:lang w:val="en-US"/>
      </w:rPr>
      <w:t>DRAFT</w:t>
    </w:r>
    <w:r w:rsidR="00EF3D14">
      <w:rPr>
        <w:u w:val="single"/>
        <w:lang w:val="en-US"/>
      </w:rPr>
      <w:fldChar w:fldCharType="end"/>
    </w:r>
    <w:r w:rsidR="005B5505">
      <w:rPr>
        <w:u w:val="single"/>
        <w:lang w:val="en-US"/>
      </w:rPr>
      <w:tab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3440AD">
      <w:rPr>
        <w:noProof/>
        <w:u w:val="single"/>
        <w:lang w:val="en-US"/>
      </w:rPr>
      <w:t>2022-05-04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844251">
    <w:abstractNumId w:val="10"/>
  </w:num>
  <w:num w:numId="2" w16cid:durableId="1370373556">
    <w:abstractNumId w:val="26"/>
  </w:num>
  <w:num w:numId="3" w16cid:durableId="1222836958">
    <w:abstractNumId w:val="27"/>
  </w:num>
  <w:num w:numId="4" w16cid:durableId="437020252">
    <w:abstractNumId w:val="18"/>
  </w:num>
  <w:num w:numId="5" w16cid:durableId="719521105">
    <w:abstractNumId w:val="17"/>
  </w:num>
  <w:num w:numId="6" w16cid:durableId="362436623">
    <w:abstractNumId w:val="24"/>
  </w:num>
  <w:num w:numId="7" w16cid:durableId="1348406891">
    <w:abstractNumId w:val="20"/>
  </w:num>
  <w:num w:numId="8" w16cid:durableId="2038122718">
    <w:abstractNumId w:val="37"/>
  </w:num>
  <w:num w:numId="9" w16cid:durableId="1918126607">
    <w:abstractNumId w:val="0"/>
  </w:num>
  <w:num w:numId="10" w16cid:durableId="1669015209">
    <w:abstractNumId w:val="1"/>
  </w:num>
  <w:num w:numId="11" w16cid:durableId="897588877">
    <w:abstractNumId w:val="2"/>
  </w:num>
  <w:num w:numId="12" w16cid:durableId="1166554874">
    <w:abstractNumId w:val="3"/>
  </w:num>
  <w:num w:numId="13" w16cid:durableId="642005251">
    <w:abstractNumId w:val="8"/>
  </w:num>
  <w:num w:numId="14" w16cid:durableId="603079199">
    <w:abstractNumId w:val="4"/>
  </w:num>
  <w:num w:numId="15" w16cid:durableId="1663462735">
    <w:abstractNumId w:val="5"/>
  </w:num>
  <w:num w:numId="16" w16cid:durableId="1729258746">
    <w:abstractNumId w:val="6"/>
  </w:num>
  <w:num w:numId="17" w16cid:durableId="1287346967">
    <w:abstractNumId w:val="7"/>
  </w:num>
  <w:num w:numId="18" w16cid:durableId="1609314875">
    <w:abstractNumId w:val="9"/>
  </w:num>
  <w:num w:numId="19" w16cid:durableId="1747727754">
    <w:abstractNumId w:val="34"/>
  </w:num>
  <w:num w:numId="20" w16cid:durableId="59599208">
    <w:abstractNumId w:val="14"/>
  </w:num>
  <w:num w:numId="21" w16cid:durableId="1903832199">
    <w:abstractNumId w:val="21"/>
  </w:num>
  <w:num w:numId="22" w16cid:durableId="965769652">
    <w:abstractNumId w:val="11"/>
  </w:num>
  <w:num w:numId="23" w16cid:durableId="962268264">
    <w:abstractNumId w:val="12"/>
  </w:num>
  <w:num w:numId="24" w16cid:durableId="637801364">
    <w:abstractNumId w:val="33"/>
  </w:num>
  <w:num w:numId="25" w16cid:durableId="430970854">
    <w:abstractNumId w:val="32"/>
  </w:num>
  <w:num w:numId="26" w16cid:durableId="235091540">
    <w:abstractNumId w:val="19"/>
  </w:num>
  <w:num w:numId="27" w16cid:durableId="886333756">
    <w:abstractNumId w:val="15"/>
  </w:num>
  <w:num w:numId="28" w16cid:durableId="65959367">
    <w:abstractNumId w:val="29"/>
  </w:num>
  <w:num w:numId="29" w16cid:durableId="860825168">
    <w:abstractNumId w:val="35"/>
  </w:num>
  <w:num w:numId="30" w16cid:durableId="894051247">
    <w:abstractNumId w:val="16"/>
  </w:num>
  <w:num w:numId="31" w16cid:durableId="2068062882">
    <w:abstractNumId w:val="22"/>
  </w:num>
  <w:num w:numId="32" w16cid:durableId="302272639">
    <w:abstractNumId w:val="30"/>
  </w:num>
  <w:num w:numId="33" w16cid:durableId="1006908316">
    <w:abstractNumId w:val="38"/>
  </w:num>
  <w:num w:numId="34" w16cid:durableId="623776263">
    <w:abstractNumId w:val="25"/>
  </w:num>
  <w:num w:numId="35" w16cid:durableId="990989701">
    <w:abstractNumId w:val="13"/>
  </w:num>
  <w:num w:numId="36" w16cid:durableId="779691636">
    <w:abstractNumId w:val="31"/>
  </w:num>
  <w:num w:numId="37" w16cid:durableId="1816221009">
    <w:abstractNumId w:val="28"/>
  </w:num>
  <w:num w:numId="38" w16cid:durableId="912546478">
    <w:abstractNumId w:val="36"/>
  </w:num>
  <w:num w:numId="39" w16cid:durableId="4307853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215C"/>
    <w:rsid w:val="00017D10"/>
    <w:rsid w:val="00023683"/>
    <w:rsid w:val="00024EE7"/>
    <w:rsid w:val="0002622B"/>
    <w:rsid w:val="00031CDC"/>
    <w:rsid w:val="00032794"/>
    <w:rsid w:val="00043F50"/>
    <w:rsid w:val="00050801"/>
    <w:rsid w:val="00054292"/>
    <w:rsid w:val="00074D4A"/>
    <w:rsid w:val="00076090"/>
    <w:rsid w:val="00086586"/>
    <w:rsid w:val="00090FC0"/>
    <w:rsid w:val="00092F26"/>
    <w:rsid w:val="0009617A"/>
    <w:rsid w:val="000A5615"/>
    <w:rsid w:val="000B16DB"/>
    <w:rsid w:val="000B27E1"/>
    <w:rsid w:val="000B335B"/>
    <w:rsid w:val="000B3578"/>
    <w:rsid w:val="000B56CF"/>
    <w:rsid w:val="000B6CF0"/>
    <w:rsid w:val="000B7F47"/>
    <w:rsid w:val="000C6072"/>
    <w:rsid w:val="000D750E"/>
    <w:rsid w:val="000E7114"/>
    <w:rsid w:val="000F2492"/>
    <w:rsid w:val="000F419B"/>
    <w:rsid w:val="000F4774"/>
    <w:rsid w:val="000F6767"/>
    <w:rsid w:val="00100C77"/>
    <w:rsid w:val="00112981"/>
    <w:rsid w:val="0012290C"/>
    <w:rsid w:val="00123762"/>
    <w:rsid w:val="00126EEB"/>
    <w:rsid w:val="001342A2"/>
    <w:rsid w:val="001376DB"/>
    <w:rsid w:val="00141288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1D44"/>
    <w:rsid w:val="00183BC5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4ECD"/>
    <w:rsid w:val="001B7FCC"/>
    <w:rsid w:val="001C7B7B"/>
    <w:rsid w:val="001D382C"/>
    <w:rsid w:val="001D670D"/>
    <w:rsid w:val="001E64DF"/>
    <w:rsid w:val="001F063E"/>
    <w:rsid w:val="001F1840"/>
    <w:rsid w:val="001F5CAB"/>
    <w:rsid w:val="00200B8E"/>
    <w:rsid w:val="00212B61"/>
    <w:rsid w:val="00214B60"/>
    <w:rsid w:val="00222B6C"/>
    <w:rsid w:val="0022751D"/>
    <w:rsid w:val="00236DB5"/>
    <w:rsid w:val="002378D6"/>
    <w:rsid w:val="00241ADD"/>
    <w:rsid w:val="00242DC1"/>
    <w:rsid w:val="002525B1"/>
    <w:rsid w:val="002575FC"/>
    <w:rsid w:val="002577E1"/>
    <w:rsid w:val="00257F44"/>
    <w:rsid w:val="00263747"/>
    <w:rsid w:val="002653EE"/>
    <w:rsid w:val="0026657D"/>
    <w:rsid w:val="00283A3D"/>
    <w:rsid w:val="00286A40"/>
    <w:rsid w:val="0029375B"/>
    <w:rsid w:val="00296996"/>
    <w:rsid w:val="002A152A"/>
    <w:rsid w:val="002A1848"/>
    <w:rsid w:val="002A6163"/>
    <w:rsid w:val="002C00DC"/>
    <w:rsid w:val="002C02D2"/>
    <w:rsid w:val="002C33B6"/>
    <w:rsid w:val="002C3C16"/>
    <w:rsid w:val="002C430F"/>
    <w:rsid w:val="002C5025"/>
    <w:rsid w:val="002D1C35"/>
    <w:rsid w:val="002D4577"/>
    <w:rsid w:val="002D5101"/>
    <w:rsid w:val="002E56D2"/>
    <w:rsid w:val="002F6311"/>
    <w:rsid w:val="00302314"/>
    <w:rsid w:val="00302B62"/>
    <w:rsid w:val="00321646"/>
    <w:rsid w:val="00327606"/>
    <w:rsid w:val="00330B84"/>
    <w:rsid w:val="003440AD"/>
    <w:rsid w:val="00350182"/>
    <w:rsid w:val="00353800"/>
    <w:rsid w:val="00360F2C"/>
    <w:rsid w:val="00362366"/>
    <w:rsid w:val="00365543"/>
    <w:rsid w:val="0038137B"/>
    <w:rsid w:val="00384133"/>
    <w:rsid w:val="003A4395"/>
    <w:rsid w:val="003B2B22"/>
    <w:rsid w:val="003C1BFD"/>
    <w:rsid w:val="003C36EC"/>
    <w:rsid w:val="003C7C8E"/>
    <w:rsid w:val="003F1D24"/>
    <w:rsid w:val="003F27AA"/>
    <w:rsid w:val="003F27F1"/>
    <w:rsid w:val="0040116E"/>
    <w:rsid w:val="00402546"/>
    <w:rsid w:val="00404381"/>
    <w:rsid w:val="00404520"/>
    <w:rsid w:val="0040560D"/>
    <w:rsid w:val="004072E3"/>
    <w:rsid w:val="00430B92"/>
    <w:rsid w:val="00441094"/>
    <w:rsid w:val="00441237"/>
    <w:rsid w:val="0045076B"/>
    <w:rsid w:val="004509EA"/>
    <w:rsid w:val="00455330"/>
    <w:rsid w:val="00461D6F"/>
    <w:rsid w:val="004646FA"/>
    <w:rsid w:val="00472A5B"/>
    <w:rsid w:val="00473051"/>
    <w:rsid w:val="00480B51"/>
    <w:rsid w:val="004821B1"/>
    <w:rsid w:val="00485917"/>
    <w:rsid w:val="0048618C"/>
    <w:rsid w:val="00487BE7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0BC5"/>
    <w:rsid w:val="005468F9"/>
    <w:rsid w:val="00555AC9"/>
    <w:rsid w:val="00557C75"/>
    <w:rsid w:val="00567059"/>
    <w:rsid w:val="00575DAE"/>
    <w:rsid w:val="00580A00"/>
    <w:rsid w:val="005828AE"/>
    <w:rsid w:val="00595982"/>
    <w:rsid w:val="0059630C"/>
    <w:rsid w:val="005A51CC"/>
    <w:rsid w:val="005A5D96"/>
    <w:rsid w:val="005B3FF4"/>
    <w:rsid w:val="005B4BE6"/>
    <w:rsid w:val="005B5505"/>
    <w:rsid w:val="005B7ED1"/>
    <w:rsid w:val="005C0554"/>
    <w:rsid w:val="005C2A44"/>
    <w:rsid w:val="005D0282"/>
    <w:rsid w:val="005D05C8"/>
    <w:rsid w:val="005D0FE4"/>
    <w:rsid w:val="005D7C43"/>
    <w:rsid w:val="005F715B"/>
    <w:rsid w:val="00605206"/>
    <w:rsid w:val="00605E36"/>
    <w:rsid w:val="0060725D"/>
    <w:rsid w:val="00607D2C"/>
    <w:rsid w:val="00620B01"/>
    <w:rsid w:val="00621BDE"/>
    <w:rsid w:val="006231F9"/>
    <w:rsid w:val="00624BE9"/>
    <w:rsid w:val="0062634F"/>
    <w:rsid w:val="0063780C"/>
    <w:rsid w:val="00641671"/>
    <w:rsid w:val="00645F4E"/>
    <w:rsid w:val="006461AD"/>
    <w:rsid w:val="006478FD"/>
    <w:rsid w:val="0065199C"/>
    <w:rsid w:val="0065339F"/>
    <w:rsid w:val="00653CDF"/>
    <w:rsid w:val="00654EB9"/>
    <w:rsid w:val="00674BAC"/>
    <w:rsid w:val="00674C65"/>
    <w:rsid w:val="00677E89"/>
    <w:rsid w:val="00684AA5"/>
    <w:rsid w:val="0068725C"/>
    <w:rsid w:val="006922CC"/>
    <w:rsid w:val="00695D2E"/>
    <w:rsid w:val="006B6569"/>
    <w:rsid w:val="006C426F"/>
    <w:rsid w:val="006D2D11"/>
    <w:rsid w:val="006D30C1"/>
    <w:rsid w:val="006D5FED"/>
    <w:rsid w:val="006D6E04"/>
    <w:rsid w:val="006E27B6"/>
    <w:rsid w:val="006F2CC6"/>
    <w:rsid w:val="006F3ADB"/>
    <w:rsid w:val="006F7E73"/>
    <w:rsid w:val="006F7FC8"/>
    <w:rsid w:val="0070436A"/>
    <w:rsid w:val="00712AD5"/>
    <w:rsid w:val="00713EFB"/>
    <w:rsid w:val="0072608D"/>
    <w:rsid w:val="00731E4C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57D0D"/>
    <w:rsid w:val="007648FB"/>
    <w:rsid w:val="00776141"/>
    <w:rsid w:val="0078038D"/>
    <w:rsid w:val="00780FE3"/>
    <w:rsid w:val="00782568"/>
    <w:rsid w:val="00784A92"/>
    <w:rsid w:val="007974A5"/>
    <w:rsid w:val="007A0042"/>
    <w:rsid w:val="007A1B20"/>
    <w:rsid w:val="007A6686"/>
    <w:rsid w:val="007A69CC"/>
    <w:rsid w:val="007C5E9A"/>
    <w:rsid w:val="007D5EFC"/>
    <w:rsid w:val="007E1637"/>
    <w:rsid w:val="007E3520"/>
    <w:rsid w:val="007E4B57"/>
    <w:rsid w:val="007F6529"/>
    <w:rsid w:val="007F6CDD"/>
    <w:rsid w:val="00802A0E"/>
    <w:rsid w:val="008061EF"/>
    <w:rsid w:val="008071F0"/>
    <w:rsid w:val="00811E73"/>
    <w:rsid w:val="00811F4E"/>
    <w:rsid w:val="008139C0"/>
    <w:rsid w:val="00814B8B"/>
    <w:rsid w:val="00816A3F"/>
    <w:rsid w:val="00821ACC"/>
    <w:rsid w:val="00824958"/>
    <w:rsid w:val="008268FD"/>
    <w:rsid w:val="008318A4"/>
    <w:rsid w:val="00832076"/>
    <w:rsid w:val="00832B46"/>
    <w:rsid w:val="0084240D"/>
    <w:rsid w:val="008432DF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1CB0"/>
    <w:rsid w:val="008B6ACE"/>
    <w:rsid w:val="008C3521"/>
    <w:rsid w:val="008C78A1"/>
    <w:rsid w:val="008F75E1"/>
    <w:rsid w:val="0090509B"/>
    <w:rsid w:val="00920081"/>
    <w:rsid w:val="0092450A"/>
    <w:rsid w:val="00926684"/>
    <w:rsid w:val="00927DAD"/>
    <w:rsid w:val="009319EC"/>
    <w:rsid w:val="00931C35"/>
    <w:rsid w:val="00936EA0"/>
    <w:rsid w:val="009413F7"/>
    <w:rsid w:val="00944136"/>
    <w:rsid w:val="009468C9"/>
    <w:rsid w:val="00950B7D"/>
    <w:rsid w:val="00965D1A"/>
    <w:rsid w:val="0097433A"/>
    <w:rsid w:val="00974668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C4F9F"/>
    <w:rsid w:val="009D445E"/>
    <w:rsid w:val="009D4BC6"/>
    <w:rsid w:val="009D63B3"/>
    <w:rsid w:val="009E2F7A"/>
    <w:rsid w:val="009E53FE"/>
    <w:rsid w:val="009E7F88"/>
    <w:rsid w:val="00A006C2"/>
    <w:rsid w:val="00A01AA1"/>
    <w:rsid w:val="00A021A4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3FE6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0D51"/>
    <w:rsid w:val="00AD1319"/>
    <w:rsid w:val="00AD30EC"/>
    <w:rsid w:val="00AD42BC"/>
    <w:rsid w:val="00AD7AC4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0AE0"/>
    <w:rsid w:val="00B21A18"/>
    <w:rsid w:val="00B21A65"/>
    <w:rsid w:val="00B2530B"/>
    <w:rsid w:val="00B32D24"/>
    <w:rsid w:val="00B41198"/>
    <w:rsid w:val="00B460F1"/>
    <w:rsid w:val="00B54AA3"/>
    <w:rsid w:val="00B7660C"/>
    <w:rsid w:val="00B8108B"/>
    <w:rsid w:val="00B92DB8"/>
    <w:rsid w:val="00B946D4"/>
    <w:rsid w:val="00B94F5A"/>
    <w:rsid w:val="00B9550A"/>
    <w:rsid w:val="00B979C6"/>
    <w:rsid w:val="00BA0D4D"/>
    <w:rsid w:val="00BA1BA1"/>
    <w:rsid w:val="00BA46B3"/>
    <w:rsid w:val="00BB075C"/>
    <w:rsid w:val="00BB6E62"/>
    <w:rsid w:val="00BC3B92"/>
    <w:rsid w:val="00BC4208"/>
    <w:rsid w:val="00BD54B2"/>
    <w:rsid w:val="00BD6048"/>
    <w:rsid w:val="00BE154E"/>
    <w:rsid w:val="00C01925"/>
    <w:rsid w:val="00C03DE7"/>
    <w:rsid w:val="00C04715"/>
    <w:rsid w:val="00C06AA4"/>
    <w:rsid w:val="00C13D63"/>
    <w:rsid w:val="00C13F14"/>
    <w:rsid w:val="00C1583D"/>
    <w:rsid w:val="00C16598"/>
    <w:rsid w:val="00C252FD"/>
    <w:rsid w:val="00C326C3"/>
    <w:rsid w:val="00C34A90"/>
    <w:rsid w:val="00C411DF"/>
    <w:rsid w:val="00C433D5"/>
    <w:rsid w:val="00C5249D"/>
    <w:rsid w:val="00C62F66"/>
    <w:rsid w:val="00C82597"/>
    <w:rsid w:val="00C9627C"/>
    <w:rsid w:val="00CA11DC"/>
    <w:rsid w:val="00CA5D43"/>
    <w:rsid w:val="00CB5715"/>
    <w:rsid w:val="00CC5288"/>
    <w:rsid w:val="00CC768A"/>
    <w:rsid w:val="00CD1C0E"/>
    <w:rsid w:val="00CD1E47"/>
    <w:rsid w:val="00CD54E8"/>
    <w:rsid w:val="00CE4CCA"/>
    <w:rsid w:val="00CE5408"/>
    <w:rsid w:val="00CE7805"/>
    <w:rsid w:val="00D0010A"/>
    <w:rsid w:val="00D0096D"/>
    <w:rsid w:val="00D0198C"/>
    <w:rsid w:val="00D02654"/>
    <w:rsid w:val="00D06B8F"/>
    <w:rsid w:val="00D119F0"/>
    <w:rsid w:val="00D1697E"/>
    <w:rsid w:val="00D27691"/>
    <w:rsid w:val="00D37860"/>
    <w:rsid w:val="00D40679"/>
    <w:rsid w:val="00D413B4"/>
    <w:rsid w:val="00D4430B"/>
    <w:rsid w:val="00D50EC7"/>
    <w:rsid w:val="00D551CE"/>
    <w:rsid w:val="00D5750A"/>
    <w:rsid w:val="00D623AA"/>
    <w:rsid w:val="00D64248"/>
    <w:rsid w:val="00D74CF7"/>
    <w:rsid w:val="00D8127F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12E2"/>
    <w:rsid w:val="00DD3F3B"/>
    <w:rsid w:val="00DE0173"/>
    <w:rsid w:val="00DF2E25"/>
    <w:rsid w:val="00DF43FB"/>
    <w:rsid w:val="00E0634E"/>
    <w:rsid w:val="00E123CD"/>
    <w:rsid w:val="00E23EE7"/>
    <w:rsid w:val="00E24D9D"/>
    <w:rsid w:val="00E24E70"/>
    <w:rsid w:val="00E310BA"/>
    <w:rsid w:val="00E3542F"/>
    <w:rsid w:val="00E355B8"/>
    <w:rsid w:val="00E40058"/>
    <w:rsid w:val="00E44885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D76D7"/>
    <w:rsid w:val="00ED7916"/>
    <w:rsid w:val="00EE0169"/>
    <w:rsid w:val="00EE09C8"/>
    <w:rsid w:val="00EE0EF1"/>
    <w:rsid w:val="00EE14BB"/>
    <w:rsid w:val="00EE544F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24670"/>
    <w:rsid w:val="00F351BB"/>
    <w:rsid w:val="00F35E61"/>
    <w:rsid w:val="00F42061"/>
    <w:rsid w:val="00F520A4"/>
    <w:rsid w:val="00F55CC0"/>
    <w:rsid w:val="00F64FC3"/>
    <w:rsid w:val="00F70F8C"/>
    <w:rsid w:val="00F72230"/>
    <w:rsid w:val="00F76858"/>
    <w:rsid w:val="00F806A8"/>
    <w:rsid w:val="00F8140D"/>
    <w:rsid w:val="00F900D8"/>
    <w:rsid w:val="00FA1629"/>
    <w:rsid w:val="00FA1689"/>
    <w:rsid w:val="00FA3CB2"/>
    <w:rsid w:val="00FA5AE9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34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docs.opengeospatial.org/is/17-066r1/17-066r1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packag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3594</Words>
  <Characters>23294</Characters>
  <Application>Microsoft Office Word</Application>
  <DocSecurity>0</DocSecurity>
  <Lines>803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298</cp:revision>
  <cp:lastPrinted>2022-05-04T15:54:00Z</cp:lastPrinted>
  <dcterms:created xsi:type="dcterms:W3CDTF">2021-06-14T12:26:00Z</dcterms:created>
  <dcterms:modified xsi:type="dcterms:W3CDTF">2022-05-04T16:28:00Z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drilling_advisor</vt:lpwstr>
  </property>
  <property fmtid="{D5CDD505-2E9C-101B-9397-08002B2CF9AE}" pid="3" name="template_version">
    <vt:lpwstr>0.0.1</vt:lpwstr>
  </property>
  <property fmtid="{D5CDD505-2E9C-101B-9397-08002B2CF9AE}" pid="4" name="template_status">
    <vt:lpwstr>DRAFT</vt:lpwstr>
  </property>
</Properties>
</file>