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br/>
      </w:r>
    </w:p>
    <w:p>
      <w:pPr>
        <w:spacing w:before="0" w:after="200" w:line="300" w:lineRule="auto"/>
      </w:pPr>
      <w:r>
        <w:rPr>
          <w:rFonts w:ascii="Aptos" w:hAnsi="Aptos" w:eastAsia="Aptos"/>
          <w:b/>
          <w:color w:val="2A8C88"/>
          <w:sz w:val="24"/>
        </w:rPr>
        <w:t>CHALLENGE CARD  03</w:t>
      </w:r>
    </w:p>
    <w:p>
      <w:pPr>
        <w:keepNext/>
        <w:spacing w:before="0" w:after="160" w:line="264" w:lineRule="auto"/>
      </w:pPr>
      <w:r>
        <w:rPr>
          <w:rFonts w:ascii="Noto Sans CJK SC" w:hAnsi="Noto Sans CJK SC" w:eastAsia="Noto Sans CJK SC"/>
          <w:b/>
          <w:color w:val="173F5F"/>
          <w:sz w:val="56"/>
        </w:rPr>
        <w:t>全球机器人元器件数字化销售模式探索</w:t>
      </w:r>
    </w:p>
    <w:p>
      <w:pPr>
        <w:spacing w:before="0" w:after="360" w:line="324" w:lineRule="auto"/>
      </w:pPr>
      <w:r>
        <w:rPr>
          <w:rFonts w:ascii="Noto Sans CJK SC" w:hAnsi="Noto Sans CJK SC" w:eastAsia="Noto Sans CJK SC"/>
          <w:b w:val="0"/>
          <w:color w:val="70777D"/>
          <w:sz w:val="24"/>
        </w:rPr>
        <w:t>面向小订单与全球长尾客户，验证低成本产品发现、理解、询盘与线索交接的新型销售方式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FFD4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18"/>
              </w:rPr>
              <w:t>全球销售</w:t>
            </w:r>
          </w:p>
        </w:tc>
        <w:tc>
          <w:tcPr>
            <w:tcW w:type="dxa" w:w="2509"/>
            <w:shd w:fill="FFD4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18"/>
              </w:rPr>
              <w:t>机器人元器件</w:t>
            </w:r>
          </w:p>
        </w:tc>
        <w:tc>
          <w:tcPr>
            <w:tcW w:type="dxa" w:w="2509"/>
            <w:shd w:fill="FFD4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18"/>
              </w:rPr>
              <w:t>长尾客户</w:t>
            </w:r>
          </w:p>
        </w:tc>
        <w:tc>
          <w:tcPr>
            <w:tcW w:type="dxa" w:w="2509"/>
            <w:shd w:fill="FFD447"/>
            <w:tcMar>
              <w:top w:w="70" w:type="dxa"/>
              <w:start w:w="130" w:type="dxa"/>
              <w:bottom w:w="7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18"/>
              </w:rPr>
              <w:t>数字化入口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5F4"/>
            <w:tcMar>
              <w:top w:w="260" w:type="dxa"/>
              <w:start w:w="260" w:type="dxa"/>
              <w:bottom w:w="260" w:type="dxa"/>
              <w:end w:w="260" w:type="dxa"/>
            </w:tcMar>
            <w:tcBorders>
              <w:top w:val="single" w:sz="10" w:color="2A8C88"/>
              <w:left w:val="single" w:sz="24" w:color="2A8C88"/>
              <w:bottom w:val="single" w:sz="10" w:color="2A8C88"/>
              <w:right w:val="single" w:sz="10" w:color="2A8C88"/>
            </w:tcBorders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8"/>
              </w:rPr>
              <w:t>一句话挑战</w:t>
            </w:r>
          </w:p>
          <w:p>
            <w:pPr>
              <w:spacing w:before="80" w:after="0" w:line="348" w:lineRule="auto"/>
            </w:pPr>
            <w:r>
              <w:rPr>
                <w:rFonts w:ascii="Noto Sans CJK SC" w:hAnsi="Noto Sans CJK SC" w:eastAsia="Noto Sans CJK SC"/>
                <w:b/>
                <w:color w:val="0F2F49"/>
                <w:sz w:val="30"/>
              </w:rPr>
              <w:t>面对数量多、持续性不确定、单次需求较小的机器人客户，均联智行能否让真正需要产品的客户更容易发现、理解并启动合作，同时避免用传统高成本销售方式服务所有小客户？</w:t>
            </w:r>
          </w:p>
        </w:tc>
      </w:tr>
    </w:tbl>
    <w:p/>
    <w:p/>
    <w:p/>
    <w:p>
      <w:pPr>
        <w:spacing w:before="0" w:after="100" w:line="300" w:lineRule="auto"/>
        <w:jc w:val="center"/>
      </w:pPr>
      <w:r>
        <w:rPr>
          <w:rFonts w:ascii="Noto Sans CJK SC" w:hAnsi="Noto Sans CJK SC" w:eastAsia="Noto Sans CJK SC"/>
          <w:b/>
          <w:color w:val="173F5F"/>
          <w:sz w:val="26"/>
        </w:rPr>
        <w:t>不是“看到需求就开始做方案”</w:t>
      </w:r>
    </w:p>
    <w:p>
      <w:pPr>
        <w:spacing w:before="0" w:after="0" w:line="360" w:lineRule="auto"/>
        <w:jc w:val="center"/>
      </w:pPr>
      <w:r>
        <w:rPr>
          <w:rFonts w:ascii="Noto Sans CJK SC" w:hAnsi="Noto Sans CJK SC" w:eastAsia="Noto Sans CJK SC"/>
          <w:b w:val="0"/>
          <w:color w:val="70777D"/>
          <w:sz w:val="21"/>
        </w:rPr>
        <w:t>先理解真实业务，再定义值得解决的问题；</w:t>
        <w:br/>
        <w:t>先标记事实、假设与未知，再决定 AI 应该做什么。</w:t>
      </w:r>
    </w:p>
    <w:p>
      <w:pPr>
        <w:spacing w:before="360" w:after="0" w:line="300" w:lineRule="auto"/>
        <w:jc w:val="center"/>
      </w:pPr>
      <w:r>
        <w:rPr>
          <w:rFonts w:ascii="Noto Sans CJK SC" w:hAnsi="Noto Sans CJK SC" w:eastAsia="Noto Sans CJK SC"/>
          <w:b w:val="0"/>
          <w:color w:val="70777D"/>
          <w:sz w:val="17"/>
        </w:rPr>
        <w:t>学员版｜两天 AI Native 共创任务｜内部使用</w:t>
      </w:r>
    </w:p>
    <w:p>
      <w:r>
        <w:br w:type="page"/>
      </w: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01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BUSINESS CONTEXT  |  业务背景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均联智行传统上主要服务汽车行业客户。汽车行业的销售通常围绕明确项目展开：销售代表跟进客户、参与竞标、进行商务谈判，并推动后续批量订单。这种模式适合客户数量有限、项目金额较大、合作周期较长的业务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机器人行业出现了不同的客户形态。机器人厂商、系统集成商和早期创新团队数量很多，部分团队还处于 Demo、样机或小批量验证阶段。客户一次可能只需要 5 台、10 台或几十台元器件，部分客户甚至只需要几百元或几千元的产品。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如果仍然依靠销售代表逐一拜访、反复介绍产品和手工传递资料，销售投入可能远高于单次订单价值。与此同时，一些客户会主动询问：“有没有一个链接，可以让我先看看产品，甚至直接发起购买？”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5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4" w:color="EAF5F4"/>
              <w:left w:val="single" w:sz="28" w:color="2A8C88"/>
              <w:bottom w:val="single" w:sz="4" w:color="EAF5F4"/>
              <w:right w:val="single" w:sz="4" w:color="EAF5F4"/>
            </w:tcBorders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核心挑战</w:t>
            </w:r>
          </w:p>
          <w:p>
            <w:pPr>
              <w:spacing w:before="60" w:after="0" w:line="336" w:lineRule="auto"/>
            </w:pPr>
            <w:r>
              <w:rPr>
                <w:rFonts w:ascii="Noto Sans CJK SC" w:hAnsi="Noto Sans CJK SC" w:eastAsia="Noto Sans CJK SC"/>
                <w:b/>
                <w:color w:val="0F2F49"/>
                <w:sz w:val="23"/>
              </w:rPr>
              <w:t>真正需要解决的问题，未必只是“建一个网店”，而是找到一种适合全球机器人长尾客户的低成本连接与承接方式。</w:t>
            </w:r>
          </w:p>
        </w:tc>
      </w:tr>
    </w:tbl>
    <w:p>
      <w:pPr>
        <w:spacing w:after="0"/>
      </w:pP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02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YOUR ROLE  |  你们的角色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你们是一支负责探索“机器人元器件新型销售模式”的跨职能团队。你们需要站在客户、销售、产品、技术、运营和管理者的角度，探索：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哪类机器人客户最值得优先服务；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客户在哪个阶段需要什么帮助；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哪些产品和信息适合由客户自助获取；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哪些判断必须由销售或工程师完成；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如何在降低销售服务成本的同时，识别值得持续跟进的客户；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如何通过一个足够小的试点，验证这种新型销售方式是否值得继续投入。</w:t>
      </w: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03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KNOWN SCENARIO  |  当前已知场景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018"/>
            <w:shd w:fill="EAF5F4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潜在客户</w:t>
            </w:r>
          </w:p>
        </w:tc>
        <w:tc>
          <w:tcPr>
            <w:tcW w:type="dxa" w:w="5018"/>
            <w:shd w:fill="F4F5F6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海外机器人厂商、系统集成商和早期创新团队。</w:t>
            </w:r>
          </w:p>
        </w:tc>
      </w:tr>
      <w:tr>
        <w:tc>
          <w:tcPr>
            <w:tcW w:type="dxa" w:w="5018"/>
            <w:shd w:fill="EEF3F7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典型阶段</w:t>
            </w:r>
          </w:p>
        </w:tc>
        <w:tc>
          <w:tcPr>
            <w:tcW w:type="dxa" w:w="5018"/>
            <w:shd w:fill="FFFFFF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Demo、样机、小批量验证或量产前导入阶段。</w:t>
            </w:r>
          </w:p>
        </w:tc>
      </w:tr>
      <w:tr>
        <w:tc>
          <w:tcPr>
            <w:tcW w:type="dxa" w:w="5018"/>
            <w:shd w:fill="EAF5F4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需求规模</w:t>
            </w:r>
          </w:p>
        </w:tc>
        <w:tc>
          <w:tcPr>
            <w:tcW w:type="dxa" w:w="5018"/>
            <w:shd w:fill="F4F5F6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单次可能为 5 台、10 台或几十台；即使量产，部分项目也可能在千台级。</w:t>
            </w:r>
          </w:p>
        </w:tc>
      </w:tr>
      <w:tr>
        <w:tc>
          <w:tcPr>
            <w:tcW w:type="dxa" w:w="5018"/>
            <w:shd w:fill="EEF3F7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产品范围</w:t>
            </w:r>
          </w:p>
        </w:tc>
        <w:tc>
          <w:tcPr>
            <w:tcW w:type="dxa" w:w="5018"/>
            <w:shd w:fill="FFFFFF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现有约 20–30 个机器人相关产品 SKU，首批试点不必覆盖全部产品。</w:t>
            </w:r>
          </w:p>
        </w:tc>
      </w:tr>
      <w:tr>
        <w:tc>
          <w:tcPr>
            <w:tcW w:type="dxa" w:w="5018"/>
            <w:shd w:fill="EAF5F4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客户入口</w:t>
            </w:r>
          </w:p>
        </w:tc>
        <w:tc>
          <w:tcPr>
            <w:tcW w:type="dxa" w:w="5018"/>
            <w:shd w:fill="F4F5F6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销售发送链接、客户主动搜索、客户通过 AI 搜索或行业问答发现。</w:t>
            </w:r>
          </w:p>
        </w:tc>
      </w:tr>
      <w:tr>
        <w:tc>
          <w:tcPr>
            <w:tcW w:type="dxa" w:w="5018"/>
            <w:shd w:fill="EEF3F7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可能动作</w:t>
            </w:r>
          </w:p>
        </w:tc>
        <w:tc>
          <w:tcPr>
            <w:tcW w:type="dxa" w:w="5018"/>
            <w:shd w:fill="FFFFFF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浏览产品、理解参数、比较与筛选，提交询价、样品申请或购买意向。</w:t>
            </w:r>
          </w:p>
        </w:tc>
      </w:tr>
      <w:tr>
        <w:tc>
          <w:tcPr>
            <w:tcW w:type="dxa" w:w="5018"/>
            <w:shd w:fill="EAF5F4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内部承接</w:t>
            </w:r>
          </w:p>
        </w:tc>
        <w:tc>
          <w:tcPr>
            <w:tcW w:type="dxa" w:w="5018"/>
            <w:shd w:fill="F4F5F6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价格确认、商务审批、订单处理、物流、财务和履约仍由现有流程承接。</w:t>
            </w:r>
          </w:p>
        </w:tc>
      </w:tr>
      <w:tr>
        <w:tc>
          <w:tcPr>
            <w:tcW w:type="dxa" w:w="5018"/>
            <w:shd w:fill="EEF3F7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初始设想</w:t>
            </w:r>
          </w:p>
        </w:tc>
        <w:tc>
          <w:tcPr>
            <w:tcW w:type="dxa" w:w="5018"/>
            <w:shd w:fill="FFFFFF"/>
            <w:tcMar>
              <w:top w:w="105" w:type="dxa"/>
              <w:start w:w="140" w:type="dxa"/>
              <w:bottom w:w="105" w:type="dxa"/>
              <w:end w:w="140" w:type="dxa"/>
            </w:tcMar>
            <w:tcBorders>
              <w:top w:val="single" w:sz="4" w:color="D7DDE2"/>
              <w:left w:val="single" w:sz="4" w:color="D7DDE2"/>
              <w:bottom w:val="single" w:sz="4" w:color="D7DDE2"/>
              <w:right w:val="single" w:sz="4" w:color="D7DDE2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兼容海外客户的国际化独立站是业务导师的初始设想之一，但不是规定答案。</w:t>
            </w:r>
          </w:p>
        </w:tc>
      </w:tr>
    </w:tbl>
    <w:p>
      <w:pPr>
        <w:spacing w:after="0"/>
      </w:pP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04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THE CHALLENGE  |  你们面临的挑战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请不要直接开始设计网站首页或商品详情页。你们首先需要回答：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5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single" w:sz="4" w:color="EAF5F4"/>
              <w:left w:val="single" w:sz="28" w:color="2A8C88"/>
              <w:bottom w:val="single" w:sz="4" w:color="EAF5F4"/>
              <w:right w:val="single" w:sz="4" w:color="EAF5F4"/>
            </w:tcBorders>
          </w:tcPr>
          <w:p>
            <w:r>
              <w:rPr>
                <w:rFonts w:ascii="Noto Sans CJK SC" w:hAnsi="Noto Sans CJK SC" w:eastAsia="Noto Sans CJK SC"/>
                <w:b/>
                <w:color w:val="2A8C88"/>
                <w:sz w:val="19"/>
              </w:rPr>
              <w:t>需要共同回答的问题</w:t>
            </w:r>
          </w:p>
          <w:p>
            <w:pPr>
              <w:spacing w:before="60" w:after="0" w:line="336" w:lineRule="auto"/>
            </w:pPr>
            <w:r>
              <w:rPr>
                <w:rFonts w:ascii="Noto Sans CJK SC" w:hAnsi="Noto Sans CJK SC" w:eastAsia="Noto Sans CJK SC"/>
                <w:b/>
                <w:color w:val="0F2F49"/>
                <w:sz w:val="23"/>
              </w:rPr>
              <w:t>面对数量多、持续性不确定、单次需求较小的机器人客户，均联智行如何让真正需要产品的客户更容易发现、理解并启动合作，同时避免用传统高成本销售方式服务所有小客户？</w:t>
            </w:r>
          </w:p>
        </w:tc>
      </w:tr>
    </w:tbl>
    <w:p>
      <w:pPr>
        <w:spacing w:after="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你们需要自行识别：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第一批应该服务谁，以及为什么；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客户在什么时刻会主动寻找元器件；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客户作出下一步动作前，最缺少什么信息；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哪些产品足够标准，可以在线表达和比较；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哪些产品必须先经过工程师判断；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客户真正希望完成的是购买、询价、选型、获取样品，还是联系技术人员；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什么样的客户线索值得销售继续投入；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客户提交需求后，内部组织能否及时接住；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AI 应该出现在搜索、问答、选型、内容生成还是线索判断中；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如何证明这种新模式真的降低了成本或创造了新机会。</w:t>
      </w: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05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AVAILABLE MATERIALS  |  可使用的资料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小组可以使用业务导师确认可公开或已脱敏的信息开展探索，包括：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少量脱敏产品 SKU 的名称、用途、基础参数和适用场景；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可公开的产品图片、规格资料、官网内容或品牌介绍；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销售常见客户问题和一个脱敏客户询盘；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当前从客户询问到技术确认、报价和履约的流程；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可公开与不可公开的信息边界；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业务导师现场提供的业务判断与补充信息。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1F2933"/>
          <w:sz w:val="21"/>
        </w:rPr>
        <w:t>无法确认的产品参数、认证、兼容性、交期和客户案例，不得由学员或 AI 自行补全。</w:t>
      </w: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06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RED LINE  |  不可触碰的红线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不得虚构产品参数、认证、接口或适配范围；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不得虚构库存、交期、价格或客户案例；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AI 不得自动承诺产品兼容性；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AI 不得代表公司正式报价或接受订单；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不得使用真实客户、合同、成本、利润或未公开产品信息；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两天内不要求打通支付、物流、财务、ERP 或 CRM；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海外隐私、税务、出口管制、支付和数据跨境问题只能进行风险识别，不能视为已经完成合规审核；</w:t>
      </w:r>
    </w:p>
    <w:p>
      <w:pPr>
        <w:pStyle w:val="ListBullet"/>
        <w:spacing w:before="0" w:after="40" w:line="312" w:lineRule="auto"/>
        <w:ind w:left="340" w:hanging="142"/>
      </w:pPr>
      <w:r>
        <w:rPr>
          <w:rFonts w:ascii="Noto Sans CJK SC" w:hAnsi="Noto Sans CJK SC" w:eastAsia="Noto Sans CJK SC"/>
          <w:b w:val="0"/>
          <w:color w:val="1F2933"/>
          <w:sz w:val="20"/>
        </w:rPr>
        <w:t>产品技术判断、价格审批、客户资格和最终履约必须由授权人员完成。</w:t>
      </w: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07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MINIMUM OUTCOME  |  两天内需要形成的最小成果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01"/>
      </w:tblGrid>
      <w:tr>
        <w:trPr>
          <w:cantSplit/>
        </w:trPr>
        <w:tc>
          <w:tcPr>
            <w:tcW w:type="dxa" w:w="5018"/>
            <w:shd w:fill="FFD44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20"/>
              </w:rPr>
              <w:t>01</w:t>
            </w:r>
          </w:p>
        </w:tc>
        <w:tc>
          <w:tcPr>
            <w:tcW w:type="dxa" w:w="5018"/>
            <w:shd w:fill="F4F5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0F2F49"/>
                <w:sz w:val="21"/>
              </w:rPr>
              <w:t>首期目标客户</w:t>
            </w:r>
          </w:p>
          <w:p>
            <w:pPr>
              <w:spacing w:before="4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选择一种明确的优先客户，说明客户是谁、处于什么阶段、由什么角色寻找元器件、订单特点、购买阻碍，以及为什么值得作为第一批试点用户。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01"/>
      </w:tblGrid>
      <w:tr>
        <w:trPr>
          <w:cantSplit/>
        </w:trPr>
        <w:tc>
          <w:tcPr>
            <w:tcW w:type="dxa" w:w="5018"/>
            <w:shd w:fill="FFD44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20"/>
              </w:rPr>
              <w:t>02</w:t>
            </w:r>
          </w:p>
        </w:tc>
        <w:tc>
          <w:tcPr>
            <w:tcW w:type="dxa" w:w="5018"/>
            <w:shd w:fill="F4F5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0F2F49"/>
                <w:sz w:val="21"/>
              </w:rPr>
              <w:t>客户旅程与当前问题</w:t>
            </w:r>
          </w:p>
          <w:p>
            <w:pPr>
              <w:spacing w:before="4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展示客户从产生需求到发现产品、理解产品并发起下一步动作的现有过程，说明最耗时、最容易中断或最容易误解的环节。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01"/>
      </w:tblGrid>
      <w:tr>
        <w:trPr>
          <w:cantSplit/>
        </w:trPr>
        <w:tc>
          <w:tcPr>
            <w:tcW w:type="dxa" w:w="5018"/>
            <w:shd w:fill="FFD44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20"/>
              </w:rPr>
              <w:t>03</w:t>
            </w:r>
          </w:p>
        </w:tc>
        <w:tc>
          <w:tcPr>
            <w:tcW w:type="dxa" w:w="5018"/>
            <w:shd w:fill="F4F5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0F2F49"/>
                <w:sz w:val="21"/>
              </w:rPr>
              <w:t>未来业务流程</w:t>
            </w:r>
          </w:p>
          <w:p>
            <w:pPr>
              <w:spacing w:before="4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明确客户自助、AI、销售、技术和运营分别完成什么；线索如何判断与分配；客户如何进入报价、样品或后续合作流程。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01"/>
      </w:tblGrid>
      <w:tr>
        <w:trPr>
          <w:cantSplit/>
        </w:trPr>
        <w:tc>
          <w:tcPr>
            <w:tcW w:type="dxa" w:w="5018"/>
            <w:shd w:fill="FFD44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20"/>
              </w:rPr>
              <w:t>04</w:t>
            </w:r>
          </w:p>
        </w:tc>
        <w:tc>
          <w:tcPr>
            <w:tcW w:type="dxa" w:w="5018"/>
            <w:shd w:fill="F4F5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0F2F49"/>
                <w:sz w:val="21"/>
              </w:rPr>
              <w:t>可体验的最小原型</w:t>
            </w:r>
          </w:p>
          <w:p>
            <w:pPr>
              <w:spacing w:before="4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使用少量脱敏产品，验证一个最重要的业务假设；原型必须展示一次完整的客户操作和内部交接，而不能只是精美页面。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01"/>
      </w:tblGrid>
      <w:tr>
        <w:trPr>
          <w:cantSplit/>
        </w:trPr>
        <w:tc>
          <w:tcPr>
            <w:tcW w:type="dxa" w:w="5018"/>
            <w:shd w:fill="FFD44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20"/>
              </w:rPr>
              <w:t>05</w:t>
            </w:r>
          </w:p>
        </w:tc>
        <w:tc>
          <w:tcPr>
            <w:tcW w:type="dxa" w:w="5018"/>
            <w:shd w:fill="F4F5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0F2F49"/>
                <w:sz w:val="21"/>
              </w:rPr>
              <w:t>人机责任与信息边界</w:t>
            </w:r>
          </w:p>
          <w:p>
            <w:pPr>
              <w:spacing w:before="4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标明哪些答案来自已确认产品资料、哪些属于 AI 整理或推荐、哪些需要工程师确认、哪些商务动作需要授权人员完成。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901"/>
      </w:tblGrid>
      <w:tr>
        <w:trPr>
          <w:cantSplit/>
        </w:trPr>
        <w:tc>
          <w:tcPr>
            <w:tcW w:type="dxa" w:w="5018"/>
            <w:shd w:fill="FFD44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2F49"/>
                <w:sz w:val="20"/>
              </w:rPr>
              <w:t>06</w:t>
            </w:r>
          </w:p>
        </w:tc>
        <w:tc>
          <w:tcPr>
            <w:tcW w:type="dxa" w:w="5018"/>
            <w:shd w:fill="F4F5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3" w:color="E2E6EA"/>
              <w:left w:val="single" w:sz="3" w:color="E2E6EA"/>
              <w:bottom w:val="single" w:sz="3" w:color="E2E6EA"/>
              <w:right w:val="single" w:sz="3" w:color="E2E6EA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0F2F49"/>
                <w:sz w:val="21"/>
              </w:rPr>
              <w:t>三十天试点计划</w:t>
            </w:r>
          </w:p>
          <w:p>
            <w:pPr>
              <w:spacing w:before="4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9"/>
              </w:rPr>
              <w:t>说明首批客户、首批产品、流量或触达方式、内部负责人、响应机制、观察数据，以及继续、调整或停止试点的条件。</w:t>
            </w:r>
          </w:p>
        </w:tc>
      </w:tr>
    </w:tbl>
    <w:p>
      <w:pPr>
        <w:spacing w:after="20"/>
      </w:pPr>
    </w:p>
    <w:p>
      <w:pPr>
        <w:keepNext/>
        <w:spacing w:before="120" w:after="100" w:line="300" w:lineRule="auto"/>
        <w:pBdr>
          <w:bottom w:val="single" w:sz="12" w:space="4" w:color="2A8C88"/>
        </w:pBdr>
      </w:pPr>
      <w:r>
        <w:rPr>
          <w:rFonts w:ascii="Aptos" w:hAnsi="Aptos" w:eastAsia="Aptos"/>
          <w:b/>
          <w:color w:val="2A8C88"/>
          <w:sz w:val="22"/>
        </w:rPr>
        <w:t>08</w:t>
      </w:r>
      <w:r>
        <w:rPr>
          <w:rFonts w:ascii="Noto Sans CJK SC" w:hAnsi="Noto Sans CJK SC" w:eastAsia="Noto Sans CJK SC"/>
          <w:b/>
          <w:color w:val="173F5F"/>
          <w:sz w:val="34"/>
        </w:rPr>
        <w:t xml:space="preserve">  FINAL REVIEW  |  最终评审问题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01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你们选择的第一批客户是谁？为什么不是其他客户？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02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客户真正的问题是什么，而不仅仅是“没有网站”？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03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你们验证的最关键假设是什么？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04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哪些产品信息适合在线公开，哪些必须由工程师确认？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05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客户为什么愿意自助完成这些步骤？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06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原型如何识别真实需求，而不是只带来浏览量？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07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客户提交需求后，均联内部由谁接、多久响应、如何进入后续流程？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08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AI 在其中产生了什么真实价值？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09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这个方案是否真的降低了销售投入，还是新增了一套需要长期维护的系统？</w:t>
      </w:r>
    </w:p>
    <w:p>
      <w:pPr>
        <w:spacing w:before="0" w:after="100" w:line="317" w:lineRule="auto"/>
        <w:ind w:left="397" w:hanging="397"/>
      </w:pPr>
      <w:r>
        <w:rPr>
          <w:rFonts w:ascii="Noto Sans CJK SC" w:hAnsi="Noto Sans CJK SC" w:eastAsia="Noto Sans CJK SC"/>
          <w:b/>
          <w:color w:val="2A8C88"/>
          <w:sz w:val="19"/>
        </w:rPr>
        <w:t>10</w:t>
      </w:r>
      <w:r>
        <w:rPr>
          <w:rFonts w:ascii="Noto Sans CJK SC" w:hAnsi="Noto Sans CJK SC" w:eastAsia="Noto Sans CJK SC"/>
          <w:b w:val="0"/>
          <w:color w:val="1F2933"/>
          <w:sz w:val="20"/>
        </w:rPr>
        <w:t xml:space="preserve">  三十天后，看到什么证据会让你们决定继续投入？看到什么证据应当停止或调整？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35" w:bottom="850" w:left="93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231"/>
    </w:tblGrid>
    <w:tr>
      <w:tc>
        <w:tcPr>
          <w:tcW w:type="dxa" w:w="5017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color="D7DDE2"/>
          </w:tcBorders>
        </w:tcPr>
        <w:p>
          <w:r>
            <w:rPr>
              <w:rFonts w:ascii="Noto Sans CJK SC" w:hAnsi="Noto Sans CJK SC" w:eastAsia="Noto Sans CJK SC"/>
              <w:b w:val="0"/>
              <w:color w:val="70777D"/>
              <w:sz w:val="16"/>
            </w:rPr>
            <w:t>INTERNAL USE｜均联智行 AI Native 训练营</w:t>
          </w:r>
        </w:p>
      </w:tc>
      <w:tc>
        <w:tcPr>
          <w:tcW w:type="dxa" w:w="5017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6" w:color="D7DDE2"/>
          </w:tcBorders>
        </w:tcPr>
        <w:p>
          <w:pPr>
            <w:jc w:val="right"/>
          </w:pPr>
          <w:r>
            <w:rPr>
              <w:rFonts w:ascii="Aptos" w:hAnsi="Aptos" w:eastAsia="Aptos"/>
              <w:b w:val="0"/>
              <w:color w:val="70777D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02"/>
      <w:gridCol w:w="4932"/>
    </w:tblGrid>
    <w:tr>
      <w:tc>
        <w:tcPr>
          <w:tcW w:type="dxa" w:w="5017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12" w:color="2A8C88"/>
          </w:tcBorders>
        </w:tcPr>
        <w:p>
          <w:r>
            <w:rPr>
              <w:rFonts w:ascii="Noto Sans CJK SC" w:hAnsi="Noto Sans CJK SC" w:eastAsia="Noto Sans CJK SC"/>
              <w:b/>
              <w:color w:val="2A8C88"/>
              <w:sz w:val="17"/>
            </w:rPr>
            <w:t>JOYNEXT 领头雁计划</w:t>
          </w:r>
        </w:p>
      </w:tc>
      <w:tc>
        <w:tcPr>
          <w:tcW w:type="dxa" w:w="5017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12" w:color="2A8C88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b w:val="0"/>
              <w:color w:val="70777D"/>
              <w:sz w:val="17"/>
            </w:rPr>
            <w:t>AI Native 新人第一课｜学员挑战卡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2F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8C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F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Label">
    <w:name w:val="Card Label"/>
    <w:pPr>
      <w:spacing w:after="40"/>
    </w:pPr>
    <w:rPr>
      <w:rFonts w:ascii="Aptos" w:hAnsi="Aptos" w:eastAsia="Noto Sans CJK SC"/>
      <w:b/>
      <w:color w:val="2A8C8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