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left"/>
      </w:pPr>
      <w:r>
        <w:rPr>
          <w:rFonts w:ascii="Calibri" w:cs="Calibri" w:eastAsia="Calibri" w:hAnsi="Calibri"/>
          <w:b/>
          <w:bCs/>
          <w:color w:val="2E75B6"/>
          <w:sz w:val="56"/>
          <w:szCs w:val="56"/>
        </w:rPr>
        <w:t xml:space="preserve">[Project Title]</w:t>
      </w:r>
    </w:p>
    <w:p>
      <w:pPr>
        <w:spacing w:after="480" w:before="0"/>
        <w:jc w:val="left"/>
      </w:pPr>
      <w:r>
        <w:rPr>
          <w:rFonts w:ascii="Calibri" w:cs="Calibri" w:eastAsia="Calibri" w:hAnsi="Calibri"/>
          <w:b w:val="false"/>
          <w:bCs w:val="false"/>
          <w:color w:val="1F2937"/>
          <w:sz w:val="40"/>
          <w:szCs w:val="40"/>
        </w:rPr>
        <w:t xml:space="preserve">Statement Of Work</w:t>
      </w:r>
    </w:p>
    <w:p>
      <w:pPr>
        <w:spacing w:after="120" w:before="0"/>
        <w:jc w:val="left"/>
      </w:pPr>
      <w:r>
        <w:rPr>
          <w:rFonts w:ascii="Calibri" w:cs="Calibri" w:eastAsia="Calibri" w:hAnsi="Calibri"/>
          <w:color w:val="6B7280"/>
          <w:sz w:val="22"/>
          <w:szCs w:val="22"/>
        </w:rPr>
        <w:t xml:space="preserve">Client: [Client Legal Name] aka [Trading Name]</w:t>
      </w:r>
    </w:p>
    <w:p>
      <w:pPr>
        <w:spacing w:after="120" w:before="0"/>
        <w:jc w:val="left"/>
      </w:pPr>
      <w:r>
        <w:rPr>
          <w:rFonts w:ascii="Calibri" w:cs="Calibri" w:eastAsia="Calibri" w:hAnsi="Calibri"/>
          <w:color w:val="6B7280"/>
          <w:sz w:val="22"/>
          <w:szCs w:val="22"/>
        </w:rPr>
        <w:t xml:space="preserve">Date: [DD MMM YYYY]</w:t>
      </w:r>
    </w:p>
    <w:p>
      <w:pPr>
        <w:spacing w:after="0" w:before="1440"/>
      </w:pPr>
    </w:p>
    <w:p>
      <w:pPr>
        <w:pBdr>
          <w:top w:val="single" w:color="E87722" w:sz="6" w:space="6"/>
        </w:pBdr>
        <w:spacing w:after="80" w:before="80"/>
        <w:jc w:val="left"/>
      </w:pPr>
      <w:r>
        <w:rPr>
          <w:rFonts w:ascii="Calibri" w:cs="Calibri" w:eastAsia="Calibri" w:hAnsi="Calibri"/>
          <w:color w:val="6B7280"/>
          <w:sz w:val="20"/>
          <w:szCs w:val="20"/>
        </w:rPr>
        <w:t xml:space="preserve">Prepared by: [Service Provider Name]</w:t>
      </w:r>
    </w:p>
    <w:p>
      <w:r>
        <w:br w:type="page"/>
      </w:r>
    </w:p>
    <w:p>
      <w:pPr>
        <w:pBdr>
          <w:bottom w:val="single" w:color="2E75B6" w:sz="4" w:space="4"/>
        </w:pBdr>
        <w:spacing w:after="120" w:before="320"/>
      </w:pPr>
      <w:r>
        <w:rPr>
          <w:rFonts w:ascii="Calibri" w:cs="Calibri" w:eastAsia="Calibri" w:hAnsi="Calibri"/>
          <w:b/>
          <w:bCs/>
          <w:color w:val="2E75B6"/>
          <w:sz w:val="28"/>
          <w:szCs w:val="28"/>
        </w:rPr>
        <w:t xml:space="preserve">Table of Contents</w:t>
      </w:r>
    </w:p>
    <w:p>
      <w:pPr>
        <w:spacing w:after="0" w:before="80"/>
      </w:pPr>
    </w:p>
    <w:p>
      <w:pPr>
        <w:tabs>
          <w:tab w:val="right" w:pos="9360"/>
        </w:tabs>
        <w:spacing w:after="60" w:before="60"/>
      </w:pPr>
      <w:r>
        <w:rPr>
          <w:rFonts w:ascii="Calibri" w:cs="Calibri" w:eastAsia="Calibri" w:hAnsi="Calibri"/>
          <w:color w:val="2E75B6"/>
          <w:sz w:val="22"/>
          <w:szCs w:val="22"/>
        </w:rPr>
        <w:t xml:space="preserve">Executive Summary</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Business Objectives</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Project Overview</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Project Outline</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Current Architecture and Challenges</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Proposed Architecture</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IN SCOPE</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OUT OF SCOPE</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ASSUMPTIONS &amp; RISK</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Gantt Chart</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Acceptance &amp; Success Criteria</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Prerequisites to Begin Work</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Timelines</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Deliverables</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Team</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Limitations</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Change in Scope</w:t>
      </w:r>
      <w:r>
        <w:rPr>
          <w:rFonts w:ascii="Calibri" w:cs="Calibri" w:eastAsia="Calibri" w:hAnsi="Calibri"/>
          <w:color w:val="6B7280"/>
          <w:sz w:val="22"/>
          <w:szCs w:val="22"/>
        </w:rPr>
        <w:t xml:space="preserve">	[page]</w:t>
      </w:r>
    </w:p>
    <w:p>
      <w:pPr>
        <w:tabs>
          <w:tab w:val="right" w:pos="9360"/>
        </w:tabs>
        <w:spacing w:after="60" w:before="60"/>
      </w:pPr>
      <w:r>
        <w:rPr>
          <w:rFonts w:ascii="Calibri" w:cs="Calibri" w:eastAsia="Calibri" w:hAnsi="Calibri"/>
          <w:color w:val="2E75B6"/>
          <w:sz w:val="22"/>
          <w:szCs w:val="22"/>
        </w:rPr>
        <w:t xml:space="preserve">Caveats &amp; Assumptions</w:t>
      </w:r>
      <w:r>
        <w:rPr>
          <w:rFonts w:ascii="Calibri" w:cs="Calibri" w:eastAsia="Calibri" w:hAnsi="Calibri"/>
          <w:color w:val="6B7280"/>
          <w:sz w:val="22"/>
          <w:szCs w:val="22"/>
        </w:rPr>
        <w:t xml:space="preserve">	[page]</w:t>
      </w:r>
    </w:p>
    <w:p>
      <w:r>
        <w:br w:type="page"/>
      </w:r>
    </w:p>
    <w:p>
      <w:pPr>
        <w:pBdr>
          <w:bottom w:val="single" w:color="2E75B6" w:sz="4" w:space="4"/>
        </w:pBdr>
        <w:spacing w:after="120" w:before="320"/>
      </w:pPr>
      <w:r>
        <w:rPr>
          <w:rFonts w:ascii="Calibri" w:cs="Calibri" w:eastAsia="Calibri" w:hAnsi="Calibri"/>
          <w:b/>
          <w:bCs/>
          <w:color w:val="2E75B6"/>
          <w:sz w:val="28"/>
          <w:szCs w:val="28"/>
        </w:rPr>
        <w:t xml:space="preserve">Statement of Work</w:t>
      </w:r>
    </w:p>
    <w:p>
      <w:pPr>
        <w:spacing w:after="60" w:before="60"/>
      </w:pPr>
      <w:r>
        <w:rPr>
          <w:rFonts w:ascii="Calibri" w:cs="Calibri" w:eastAsia="Calibri" w:hAnsi="Calibri"/>
          <w:color w:val="1F2937"/>
          <w:sz w:val="22"/>
          <w:szCs w:val="22"/>
        </w:rPr>
        <w:t xml:space="preserve">The following document memorializes the Statement of Work between </w:t>
      </w:r>
    </w:p>
    <w:p>
      <w:pPr>
        <w:spacing w:after="120" w:before="60"/>
      </w:pPr>
      <w:r>
        <w:rPr>
          <w:rFonts w:ascii="Calibri" w:cs="Calibri" w:eastAsia="Calibri" w:hAnsi="Calibri"/>
          <w:b/>
          <w:bCs/>
          <w:i/>
          <w:iCs/>
          <w:color w:val="E87722"/>
          <w:sz w:val="22"/>
          <w:szCs w:val="22"/>
        </w:rPr>
        <w:t xml:space="preserve">[Service Provider Name]</w:t>
      </w:r>
      <w:r>
        <w:rPr>
          <w:rFonts w:ascii="Calibri" w:cs="Calibri" w:eastAsia="Calibri" w:hAnsi="Calibri"/>
          <w:color w:val="1F2937"/>
          <w:sz w:val="22"/>
          <w:szCs w:val="22"/>
        </w:rPr>
        <w:t xml:space="preserve"> and </w:t>
      </w:r>
      <w:r>
        <w:rPr>
          <w:rFonts w:ascii="Calibri" w:cs="Calibri" w:eastAsia="Calibri" w:hAnsi="Calibri"/>
          <w:b/>
          <w:bCs/>
          <w:i/>
          <w:iCs/>
          <w:color w:val="E87722"/>
          <w:sz w:val="22"/>
          <w:szCs w:val="22"/>
        </w:rPr>
        <w:t xml:space="preserve">[Client Legal Name] aka [Client Trading Name]</w:t>
      </w:r>
      <w:r>
        <w:rPr>
          <w:rFonts w:ascii="Calibri" w:cs="Calibri" w:eastAsia="Calibri" w:hAnsi="Calibri"/>
          <w:color w:val="1F2937"/>
          <w:sz w:val="22"/>
          <w:szCs w:val="22"/>
        </w:rPr>
        <w:t xml:space="preserve"> ("Client"). This Statement of Work ("SOW") is entered into as agreed by Client and [Service Provider Name] on the Effective Date of this SOW.</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Executive Summary</w:t>
      </w:r>
    </w:p>
    <w:p>
      <w:pPr>
        <w:spacing w:after="60" w:before="60"/>
      </w:pPr>
      <w:r>
        <w:rPr>
          <w:rFonts w:ascii="Calibri" w:cs="Calibri" w:eastAsia="Calibri" w:hAnsi="Calibri"/>
          <w:b/>
          <w:bCs/>
          <w:i/>
          <w:iCs/>
          <w:color w:val="E87722"/>
          <w:sz w:val="22"/>
          <w:szCs w:val="22"/>
        </w:rPr>
        <w:t xml:space="preserve">[Client Trading Name]</w:t>
      </w:r>
      <w:r>
        <w:rPr>
          <w:rFonts w:ascii="Calibri" w:cs="Calibri" w:eastAsia="Calibri" w:hAnsi="Calibri"/>
          <w:color w:val="1F2937"/>
          <w:sz w:val="22"/>
          <w:szCs w:val="22"/>
        </w:rPr>
        <w:t xml:space="preserve"> is a [brief company description — e.g. B2B commerce platform / SaaS business / fintech startup] currently operating [describe current infrastructure — e.g. a hybrid multi-cloud infrastructure / an on-premises environment / a single-cloud setup]. The organization's core application stack — including [list key services e.g. API server, databases, caching, search] — resides on [current platform], while supporting services including [list others] are hosted on [other platform].</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Business Objectives</w:t>
      </w:r>
    </w:p>
    <w:p>
      <w:pPr>
        <w:spacing w:after="60" w:before="60"/>
      </w:pPr>
      <w:r>
        <w:rPr>
          <w:rFonts w:ascii="Calibri" w:cs="Calibri" w:eastAsia="Calibri" w:hAnsi="Calibri"/>
          <w:color w:val="1F2937"/>
          <w:sz w:val="22"/>
          <w:szCs w:val="22"/>
        </w:rPr>
        <w:t xml:space="preserve">The purpose of this Statement of Work is to define the scope, deliverables, timelines, and responsibilities under which </w:t>
      </w:r>
    </w:p>
    <w:p>
      <w:pPr>
        <w:spacing w:after="60" w:before="60"/>
      </w:pPr>
      <w:r>
        <w:rPr>
          <w:rFonts w:ascii="Calibri" w:cs="Calibri" w:eastAsia="Calibri" w:hAnsi="Calibri"/>
          <w:b/>
          <w:bCs/>
          <w:i/>
          <w:iCs/>
          <w:color w:val="E87722"/>
          <w:sz w:val="22"/>
          <w:szCs w:val="22"/>
        </w:rPr>
        <w:t xml:space="preserve">[Service Provider Name]</w:t>
      </w:r>
      <w:r>
        <w:rPr>
          <w:rFonts w:ascii="Calibri" w:cs="Calibri" w:eastAsia="Calibri" w:hAnsi="Calibri"/>
          <w:color w:val="1F2937"/>
          <w:sz w:val="22"/>
          <w:szCs w:val="22"/>
        </w:rPr>
        <w:t xml:space="preserve"> ("Service Provider") shall [describe the engagement — e.g. conduct an infrastructure assessment and execute the migration of [Client]'s [source platform] workloads to [target platform]].</w:t>
      </w:r>
    </w:p>
    <w:p>
      <w:pPr>
        <w:spacing w:after="60" w:before="60"/>
      </w:pPr>
      <w:r>
        <w:rPr>
          <w:rFonts w:ascii="Calibri" w:cs="Calibri" w:eastAsia="Calibri" w:hAnsi="Calibri"/>
          <w:color w:val="1F2937"/>
          <w:sz w:val="22"/>
          <w:szCs w:val="22"/>
        </w:rPr>
        <w:t xml:space="preserve">The Service Provider has conducted discovery and technical discussions with the Client's engineering leadership. This SOW outlines the current state, recommended target architecture, migration/implementation strategy, and execution plan.</w:t>
      </w:r>
    </w:p>
    <w:p>
      <w:pPr>
        <w:spacing w:after="0" w:before="60"/>
      </w:pPr>
    </w:p>
    <w:p>
      <w:pPr>
        <w:spacing w:after="80" w:before="200"/>
      </w:pPr>
      <w:r>
        <w:rPr>
          <w:rFonts w:ascii="Calibri" w:cs="Calibri" w:eastAsia="Calibri" w:hAnsi="Calibri"/>
          <w:b/>
          <w:bCs/>
          <w:color w:val="1F2937"/>
          <w:sz w:val="24"/>
          <w:szCs w:val="24"/>
        </w:rPr>
        <w:t xml:space="preserve">Key Findings and Recommendations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Finding 1: </w:t>
      </w:r>
      <w:r>
        <w:rPr>
          <w:rFonts w:ascii="Calibri" w:cs="Calibri" w:eastAsia="Calibri" w:hAnsi="Calibri"/>
          <w:i/>
          <w:iCs/>
          <w:color w:val="E87722"/>
          <w:sz w:val="22"/>
          <w:szCs w:val="22"/>
        </w:rPr>
        <w:t xml:space="preserve">[describe primary technical finding]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Finding 2: </w:t>
      </w:r>
      <w:r>
        <w:rPr>
          <w:rFonts w:ascii="Calibri" w:cs="Calibri" w:eastAsia="Calibri" w:hAnsi="Calibri"/>
          <w:i/>
          <w:iCs/>
          <w:color w:val="E87722"/>
          <w:sz w:val="22"/>
          <w:szCs w:val="22"/>
        </w:rPr>
        <w:t xml:space="preserve">[describe secondary challenge or risk]</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Finding 3: </w:t>
      </w:r>
      <w:r>
        <w:rPr>
          <w:rFonts w:ascii="Calibri" w:cs="Calibri" w:eastAsia="Calibri" w:hAnsi="Calibri"/>
          <w:i/>
          <w:iCs/>
          <w:color w:val="E87722"/>
          <w:sz w:val="22"/>
          <w:szCs w:val="22"/>
        </w:rPr>
        <w:t xml:space="preserve">[describe recommended approach or opportunity]</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Project Overview</w:t>
      </w:r>
    </w:p>
    <w:p>
      <w:pPr>
        <w:spacing w:after="60" w:before="60"/>
      </w:pPr>
      <w:r>
        <w:rPr>
          <w:rFonts w:ascii="Calibri" w:cs="Calibri" w:eastAsia="Calibri" w:hAnsi="Calibri"/>
          <w:b/>
          <w:bCs/>
          <w:i/>
          <w:iCs/>
          <w:color w:val="E87722"/>
          <w:sz w:val="22"/>
          <w:szCs w:val="22"/>
        </w:rPr>
        <w:t xml:space="preserve">[Client Trading Name]</w:t>
      </w:r>
      <w:r>
        <w:rPr>
          <w:rFonts w:ascii="Calibri" w:cs="Calibri" w:eastAsia="Calibri" w:hAnsi="Calibri"/>
          <w:color w:val="1F2937"/>
          <w:sz w:val="22"/>
          <w:szCs w:val="22"/>
        </w:rPr>
        <w:t xml:space="preserve"> operates a [describe business — e.g. B2B fashion and textile commerce platform] primarily serving [target markets]. The company manages [describe applications — e.g. customer-facing mobile applications and internal operational tooling].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Primary cloud/infrastructure platform: </w:t>
      </w:r>
      <w:r>
        <w:rPr>
          <w:rFonts w:ascii="Calibri" w:cs="Calibri" w:eastAsia="Calibri" w:hAnsi="Calibri"/>
          <w:i/>
          <w:iCs/>
          <w:color w:val="E87722"/>
          <w:sz w:val="22"/>
          <w:szCs w:val="22"/>
        </w:rPr>
        <w:t xml:space="preserve">[e.g. Google Cloud Platform (GCP)]</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Secondary cloud/infrastructure platform: </w:t>
      </w:r>
      <w:r>
        <w:rPr>
          <w:rFonts w:ascii="Calibri" w:cs="Calibri" w:eastAsia="Calibri" w:hAnsi="Calibri"/>
          <w:i/>
          <w:iCs/>
          <w:color w:val="E87722"/>
          <w:sz w:val="22"/>
          <w:szCs w:val="22"/>
        </w:rPr>
        <w:t xml:space="preserve">[e.g. Amazon Web Services (AWS)]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Core application workloads: </w:t>
      </w:r>
      <w:r>
        <w:rPr>
          <w:rFonts w:ascii="Calibri" w:cs="Calibri" w:eastAsia="Calibri" w:hAnsi="Calibri"/>
          <w:i/>
          <w:iCs/>
          <w:color w:val="E87722"/>
          <w:sz w:val="22"/>
          <w:szCs w:val="22"/>
        </w:rPr>
        <w:t xml:space="preserve">[e.g. API Server, Database, Cache, Search]</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Supporting tooling: </w:t>
      </w:r>
      <w:r>
        <w:rPr>
          <w:rFonts w:ascii="Calibri" w:cs="Calibri" w:eastAsia="Calibri" w:hAnsi="Calibri"/>
          <w:i/>
          <w:iCs/>
          <w:color w:val="E87722"/>
          <w:sz w:val="22"/>
          <w:szCs w:val="22"/>
        </w:rPr>
        <w:t xml:space="preserve">[e.g. CI/CD, Monitoring, Orchestration]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Infrastructure management: </w:t>
      </w:r>
      <w:r>
        <w:rPr>
          <w:rFonts w:ascii="Calibri" w:cs="Calibri" w:eastAsia="Calibri" w:hAnsi="Calibri"/>
          <w:i/>
          <w:iCs/>
          <w:color w:val="E87722"/>
          <w:sz w:val="22"/>
          <w:szCs w:val="22"/>
        </w:rPr>
        <w:t xml:space="preserve">[e.g. Manual / Terraform / Ansible]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Databases: </w:t>
      </w:r>
      <w:r>
        <w:rPr>
          <w:rFonts w:ascii="Calibri" w:cs="Calibri" w:eastAsia="Calibri" w:hAnsi="Calibri"/>
          <w:i/>
          <w:iCs/>
          <w:color w:val="E87722"/>
          <w:sz w:val="22"/>
          <w:szCs w:val="22"/>
        </w:rPr>
        <w:t xml:space="preserve">[e.g. MongoDB, PostgreSQL, Redis]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CI/CD tooling: </w:t>
      </w:r>
      <w:r>
        <w:rPr>
          <w:rFonts w:ascii="Calibri" w:cs="Calibri" w:eastAsia="Calibri" w:hAnsi="Calibri"/>
          <w:i/>
          <w:iCs/>
          <w:color w:val="E87722"/>
          <w:sz w:val="22"/>
          <w:szCs w:val="22"/>
        </w:rPr>
        <w:t xml:space="preserve">[e.g. Jenkins, GitHub Actions, GitLab]</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Planned growth / initiatives: </w:t>
      </w:r>
      <w:r>
        <w:rPr>
          <w:rFonts w:ascii="Calibri" w:cs="Calibri" w:eastAsia="Calibri" w:hAnsi="Calibri"/>
          <w:i/>
          <w:iCs/>
          <w:color w:val="E87722"/>
          <w:sz w:val="22"/>
          <w:szCs w:val="22"/>
        </w:rPr>
        <w:t xml:space="preserve">[e.g. 10x scale-up, AI/ML workloads]</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Project Outline</w:t>
      </w:r>
    </w:p>
    <w:p>
      <w:pPr>
        <w:spacing w:after="60" w:before="60"/>
      </w:pPr>
      <w:r>
        <w:rPr>
          <w:rFonts w:ascii="Calibri" w:cs="Calibri" w:eastAsia="Calibri" w:hAnsi="Calibri"/>
          <w:color w:val="1F2937"/>
          <w:sz w:val="22"/>
          <w:szCs w:val="22"/>
        </w:rPr>
        <w:t xml:space="preserve">[Describe the current architecture in 2-3 sentences. Include how services are connected, what the current setup supports, and any known architectural patterns.]</w:t>
      </w:r>
    </w:p>
    <w:p>
      <w:pPr>
        <w:spacing w:after="0" w:before="80"/>
      </w:pPr>
    </w:p>
    <w:p>
      <w:pPr>
        <w:spacing w:after="80" w:before="200"/>
      </w:pPr>
      <w:r>
        <w:rPr>
          <w:rFonts w:ascii="Calibri" w:cs="Calibri" w:eastAsia="Calibri" w:hAnsi="Calibri"/>
          <w:b/>
          <w:bCs/>
          <w:color w:val="1F2937"/>
          <w:sz w:val="24"/>
          <w:szCs w:val="24"/>
        </w:rPr>
        <w:t xml:space="preserve">Current Environment — [Source Platform]</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1: </w:t>
      </w:r>
      <w:r>
        <w:rPr>
          <w:rFonts w:ascii="Calibri" w:cs="Calibri" w:eastAsia="Calibri" w:hAnsi="Calibri"/>
          <w:i/>
          <w:iCs/>
          <w:color w:val="E87722"/>
          <w:sz w:val="22"/>
          <w:szCs w:val="22"/>
        </w:rPr>
        <w:t xml:space="preserve">[e.g. API Server / main application backend]</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2: </w:t>
      </w:r>
      <w:r>
        <w:rPr>
          <w:rFonts w:ascii="Calibri" w:cs="Calibri" w:eastAsia="Calibri" w:hAnsi="Calibri"/>
          <w:i/>
          <w:iCs/>
          <w:color w:val="E87722"/>
          <w:sz w:val="22"/>
          <w:szCs w:val="22"/>
        </w:rPr>
        <w:t xml:space="preserve">[e.g. Database — self-hosted or managed]</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3: </w:t>
      </w:r>
      <w:r>
        <w:rPr>
          <w:rFonts w:ascii="Calibri" w:cs="Calibri" w:eastAsia="Calibri" w:hAnsi="Calibri"/>
          <w:i/>
          <w:iCs/>
          <w:color w:val="E87722"/>
          <w:sz w:val="22"/>
          <w:szCs w:val="22"/>
        </w:rPr>
        <w:t xml:space="preserve">[e.g. Caching layer]</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4: </w:t>
      </w:r>
      <w:r>
        <w:rPr>
          <w:rFonts w:ascii="Calibri" w:cs="Calibri" w:eastAsia="Calibri" w:hAnsi="Calibri"/>
          <w:i/>
          <w:iCs/>
          <w:color w:val="E87722"/>
          <w:sz w:val="22"/>
          <w:szCs w:val="22"/>
        </w:rPr>
        <w:t xml:space="preserve">[e.g. Search and analytics]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5: </w:t>
      </w:r>
      <w:r>
        <w:rPr>
          <w:rFonts w:ascii="Calibri" w:cs="Calibri" w:eastAsia="Calibri" w:hAnsi="Calibri"/>
          <w:i/>
          <w:iCs/>
          <w:color w:val="E87722"/>
          <w:sz w:val="22"/>
          <w:szCs w:val="22"/>
        </w:rPr>
        <w:t xml:space="preserve">[e.g. Monitoring / logging stack]</w:t>
      </w:r>
    </w:p>
    <w:p>
      <w:pPr>
        <w:spacing w:after="0" w:before="80"/>
      </w:pPr>
    </w:p>
    <w:p>
      <w:pPr>
        <w:spacing w:after="80" w:before="200"/>
      </w:pPr>
      <w:r>
        <w:rPr>
          <w:rFonts w:ascii="Calibri" w:cs="Calibri" w:eastAsia="Calibri" w:hAnsi="Calibri"/>
          <w:b/>
          <w:bCs/>
          <w:color w:val="1F2937"/>
          <w:sz w:val="24"/>
          <w:szCs w:val="24"/>
        </w:rPr>
        <w:t xml:space="preserve">Current Environment — [Secondary Platform / On-Premises]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1: </w:t>
      </w:r>
      <w:r>
        <w:rPr>
          <w:rFonts w:ascii="Calibri" w:cs="Calibri" w:eastAsia="Calibri" w:hAnsi="Calibri"/>
          <w:i/>
          <w:iCs/>
          <w:color w:val="E87722"/>
          <w:sz w:val="22"/>
          <w:szCs w:val="22"/>
        </w:rPr>
        <w:t xml:space="preserve">[e.g. DNS / ingress management]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2: </w:t>
      </w:r>
      <w:r>
        <w:rPr>
          <w:rFonts w:ascii="Calibri" w:cs="Calibri" w:eastAsia="Calibri" w:hAnsi="Calibri"/>
          <w:i/>
          <w:iCs/>
          <w:color w:val="E87722"/>
          <w:sz w:val="22"/>
          <w:szCs w:val="22"/>
        </w:rPr>
        <w:t xml:space="preserve">[e.g. Message broker / event streaming]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3: </w:t>
      </w:r>
      <w:r>
        <w:rPr>
          <w:rFonts w:ascii="Calibri" w:cs="Calibri" w:eastAsia="Calibri" w:hAnsi="Calibri"/>
          <w:i/>
          <w:iCs/>
          <w:color w:val="E87722"/>
          <w:sz w:val="22"/>
          <w:szCs w:val="22"/>
        </w:rPr>
        <w:t xml:space="preserve">[e.g. Workflow orchestration]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Service 4: </w:t>
      </w:r>
      <w:r>
        <w:rPr>
          <w:rFonts w:ascii="Calibri" w:cs="Calibri" w:eastAsia="Calibri" w:hAnsi="Calibri"/>
          <w:i/>
          <w:iCs/>
          <w:color w:val="E87722"/>
          <w:sz w:val="22"/>
          <w:szCs w:val="22"/>
        </w:rPr>
        <w:t xml:space="preserve">[e.g. CI/CD pipelines]</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Current Architecture and Challenges</w:t>
      </w:r>
    </w:p>
    <w:p>
      <w:pPr>
        <w:spacing w:after="60" w:before="60"/>
      </w:pPr>
      <w:r>
        <w:rPr>
          <w:rFonts w:ascii="Calibri" w:cs="Calibri" w:eastAsia="Calibri" w:hAnsi="Calibri"/>
          <w:color w:val="1F2937"/>
          <w:sz w:val="22"/>
          <w:szCs w:val="22"/>
        </w:rPr>
        <w:t xml:space="preserve">[Describe the current architecture flow — e.g. how DNS routes to ingress, how ingress routes to application, how application connects to databases, and how services are interconnected.]</w:t>
      </w:r>
    </w:p>
    <w:p>
      <w:pPr>
        <w:spacing w:after="0" w:before="80"/>
      </w:pPr>
    </w:p>
    <w:p>
      <w:pPr>
        <w:spacing w:after="80" w:before="200"/>
      </w:pPr>
      <w:r>
        <w:rPr>
          <w:rFonts w:ascii="Calibri" w:cs="Calibri" w:eastAsia="Calibri" w:hAnsi="Calibri"/>
          <w:b/>
          <w:bCs/>
          <w:color w:val="1F2937"/>
          <w:sz w:val="24"/>
          <w:szCs w:val="24"/>
        </w:rPr>
        <w:t xml:space="preserve">Key Challenges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1: </w:t>
      </w:r>
      <w:r>
        <w:rPr>
          <w:rFonts w:ascii="Calibri" w:cs="Calibri" w:eastAsia="Calibri" w:hAnsi="Calibri"/>
          <w:i/>
          <w:iCs/>
          <w:color w:val="E87722"/>
          <w:sz w:val="22"/>
          <w:szCs w:val="22"/>
        </w:rPr>
        <w:t xml:space="preserve">[e.g. Multi-cloud operational complexity — engineers manage two cloud consoles, IAM systems, and networking configurations]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2: </w:t>
      </w:r>
      <w:r>
        <w:rPr>
          <w:rFonts w:ascii="Calibri" w:cs="Calibri" w:eastAsia="Calibri" w:hAnsi="Calibri"/>
          <w:i/>
          <w:iCs/>
          <w:color w:val="E87722"/>
          <w:sz w:val="22"/>
          <w:szCs w:val="22"/>
        </w:rPr>
        <w:t xml:space="preserve">[e.g. Latency — cross-cloud service calls introduce performance overhead]</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3: </w:t>
      </w:r>
      <w:r>
        <w:rPr>
          <w:rFonts w:ascii="Calibri" w:cs="Calibri" w:eastAsia="Calibri" w:hAnsi="Calibri"/>
          <w:i/>
          <w:iCs/>
          <w:color w:val="E87722"/>
          <w:sz w:val="22"/>
          <w:szCs w:val="22"/>
        </w:rPr>
        <w:t xml:space="preserve">[e.g. Self-hosted database administration overhead without managed service benefits]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4: </w:t>
      </w:r>
      <w:r>
        <w:rPr>
          <w:rFonts w:ascii="Calibri" w:cs="Calibri" w:eastAsia="Calibri" w:hAnsi="Calibri"/>
          <w:i/>
          <w:iCs/>
          <w:color w:val="E87722"/>
          <w:sz w:val="22"/>
          <w:szCs w:val="22"/>
        </w:rPr>
        <w:t xml:space="preserve">[e.g. No Infrastructure-as-Code tooling — risk of configuration drift]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5: </w:t>
      </w:r>
      <w:r>
        <w:rPr>
          <w:rFonts w:ascii="Calibri" w:cs="Calibri" w:eastAsia="Calibri" w:hAnsi="Calibri"/>
          <w:i/>
          <w:iCs/>
          <w:color w:val="E87722"/>
          <w:sz w:val="22"/>
          <w:szCs w:val="22"/>
        </w:rPr>
        <w:t xml:space="preserve">[e.g. Scaling friction in a manually managed environment]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6: </w:t>
      </w:r>
      <w:r>
        <w:rPr>
          <w:rFonts w:ascii="Calibri" w:cs="Calibri" w:eastAsia="Calibri" w:hAnsi="Calibri"/>
          <w:i/>
          <w:iCs/>
          <w:color w:val="E87722"/>
          <w:sz w:val="22"/>
          <w:szCs w:val="22"/>
        </w:rPr>
        <w:t xml:space="preserve">[e.g. Absence of cloud-native AI/ML services for planned initiatives]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Challenge 7: </w:t>
      </w:r>
      <w:r>
        <w:rPr>
          <w:rFonts w:ascii="Calibri" w:cs="Calibri" w:eastAsia="Calibri" w:hAnsi="Calibri"/>
          <w:i/>
          <w:iCs/>
          <w:color w:val="E87722"/>
          <w:sz w:val="22"/>
          <w:szCs w:val="22"/>
        </w:rPr>
        <w:t xml:space="preserve">[e.g. Dual billing with no consolidated cost visibility or optimisation framework]</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Proposed Architecture</w:t>
      </w:r>
    </w:p>
    <w:p>
      <w:pPr>
        <w:spacing w:after="60" w:before="60"/>
      </w:pPr>
      <w:r>
        <w:rPr>
          <w:rFonts w:ascii="Calibri" w:cs="Calibri" w:eastAsia="Calibri" w:hAnsi="Calibri"/>
          <w:color w:val="1F2937"/>
          <w:sz w:val="22"/>
          <w:szCs w:val="22"/>
        </w:rPr>
        <w:t xml:space="preserve">[Describe the target architecture in 2-3 sentences — what platform, what pattern (e.g. consolidation onto AWS), and what the key benefits are.]</w:t>
      </w:r>
    </w:p>
    <w:p>
      <w:pPr>
        <w:spacing w:after="0" w:before="60"/>
      </w:pPr>
    </w:p>
    <w:p>
      <w:pPr>
        <w:spacing w:after="80" w:before="200"/>
      </w:pPr>
      <w:r>
        <w:rPr>
          <w:rFonts w:ascii="Calibri" w:cs="Calibri" w:eastAsia="Calibri" w:hAnsi="Calibri"/>
          <w:b/>
          <w:bCs/>
          <w:color w:val="1F2937"/>
          <w:sz w:val="24"/>
          <w:szCs w:val="24"/>
        </w:rPr>
        <w:t xml:space="preserve">Key Highlights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Managed service replacement 1: </w:t>
      </w:r>
      <w:r>
        <w:rPr>
          <w:rFonts w:ascii="Calibri" w:cs="Calibri" w:eastAsia="Calibri" w:hAnsi="Calibri"/>
          <w:i/>
          <w:iCs/>
          <w:color w:val="E87722"/>
          <w:sz w:val="22"/>
          <w:szCs w:val="22"/>
        </w:rPr>
        <w:t xml:space="preserve">[e.g. Amazon DocumentDB to replace self-hosted MongoDB]</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Managed service replacement 2: </w:t>
      </w:r>
      <w:r>
        <w:rPr>
          <w:rFonts w:ascii="Calibri" w:cs="Calibri" w:eastAsia="Calibri" w:hAnsi="Calibri"/>
          <w:i/>
          <w:iCs/>
          <w:color w:val="E87722"/>
          <w:sz w:val="22"/>
          <w:szCs w:val="22"/>
        </w:rPr>
        <w:t xml:space="preserve">[e.g. Amazon ElastiCache to replace self-hosted Redis]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Managed service replacement 3: </w:t>
      </w:r>
      <w:r>
        <w:rPr>
          <w:rFonts w:ascii="Calibri" w:cs="Calibri" w:eastAsia="Calibri" w:hAnsi="Calibri"/>
          <w:i/>
          <w:iCs/>
          <w:color w:val="E87722"/>
          <w:sz w:val="22"/>
          <w:szCs w:val="22"/>
        </w:rPr>
        <w:t xml:space="preserve">[e.g. Amazon OpenSearch to replace self-hosted Elasticsearch]</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Managed service replacement 4: </w:t>
      </w:r>
      <w:r>
        <w:rPr>
          <w:rFonts w:ascii="Calibri" w:cs="Calibri" w:eastAsia="Calibri" w:hAnsi="Calibri"/>
          <w:i/>
          <w:iCs/>
          <w:color w:val="E87722"/>
          <w:sz w:val="22"/>
          <w:szCs w:val="22"/>
        </w:rPr>
        <w:t xml:space="preserve">[e.g. Amazon RDS to replace self-hosted PostgreSQL]</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Application tier migration: </w:t>
      </w:r>
      <w:r>
        <w:rPr>
          <w:rFonts w:ascii="Calibri" w:cs="Calibri" w:eastAsia="Calibri" w:hAnsi="Calibri"/>
          <w:i/>
          <w:iCs/>
          <w:color w:val="E87722"/>
          <w:sz w:val="22"/>
          <w:szCs w:val="22"/>
        </w:rPr>
        <w:t xml:space="preserve">[e.g. API Server migrated to EC2 within new VPC]</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New capability 1: </w:t>
      </w:r>
      <w:r>
        <w:rPr>
          <w:rFonts w:ascii="Calibri" w:cs="Calibri" w:eastAsia="Calibri" w:hAnsi="Calibri"/>
          <w:i/>
          <w:iCs/>
          <w:color w:val="E87722"/>
          <w:sz w:val="22"/>
          <w:szCs w:val="22"/>
        </w:rPr>
        <w:t xml:space="preserve">[e.g. Amazon SageMaker for AI/ML workloads]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New capability 2: </w:t>
      </w:r>
      <w:r>
        <w:rPr>
          <w:rFonts w:ascii="Calibri" w:cs="Calibri" w:eastAsia="Calibri" w:hAnsi="Calibri"/>
          <w:i/>
          <w:iCs/>
          <w:color w:val="E87722"/>
          <w:sz w:val="22"/>
          <w:szCs w:val="22"/>
        </w:rPr>
        <w:t xml:space="preserve">[e.g. Terraform IaC for all provisioned infrastructure]</w:t>
      </w:r>
    </w:p>
    <w:p>
      <w:pPr>
        <w:spacing w:after="0" w:before="80"/>
      </w:pPr>
    </w:p>
    <w:p>
      <w:pPr>
        <w:spacing w:after="80" w:before="200"/>
      </w:pPr>
      <w:r>
        <w:rPr>
          <w:rFonts w:ascii="Calibri" w:cs="Calibri" w:eastAsia="Calibri" w:hAnsi="Calibri"/>
          <w:b/>
          <w:bCs/>
          <w:color w:val="1F2937"/>
          <w:sz w:val="24"/>
          <w:szCs w:val="24"/>
        </w:rPr>
        <w:t xml:space="preserve">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Component</w:t>
            </w:r>
          </w:p>
        </w:tc>
        <w:tc>
          <w:tcPr>
            <w:tcW w:type="dxa" w:w="34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Current (Source)</w:t>
            </w:r>
          </w:p>
        </w:tc>
        <w:tc>
          <w:tcPr>
            <w:tcW w:type="dxa" w:w="356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Recommended (Target)</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1]</w:t>
            </w:r>
          </w:p>
        </w:tc>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2]</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3]</w:t>
            </w:r>
          </w:p>
        </w:tc>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4]</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5]</w:t>
            </w:r>
          </w:p>
        </w:tc>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6]</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[Component 7]</w:t>
            </w:r>
          </w:p>
        </w:tc>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service/platform]</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service/platform]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[AI/ML]</w:t>
            </w:r>
          </w:p>
        </w:tc>
        <w:tc>
          <w:tcPr>
            <w:tcW w:type="dxa" w:w="3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Not implemented</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AI/ML service]</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[VPN / Connectivity]</w:t>
            </w:r>
          </w:p>
        </w:tc>
        <w:tc>
          <w:tcPr>
            <w:tcW w:type="dxa" w:w="3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[Current VPN solution]</w:t>
            </w:r>
          </w:p>
        </w:tc>
        <w:tc>
          <w:tcPr>
            <w:tcW w:type="dxa" w:w="3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[Target connectivity solution]</w:t>
            </w:r>
          </w:p>
        </w:tc>
      </w:tr>
    </w:tbl>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IN SCOPE</w:t>
      </w:r>
    </w:p>
    <w:p>
      <w:pPr>
        <w:spacing w:after="0" w:before="60"/>
      </w:pPr>
    </w:p>
    <w:p>
      <w:pPr>
        <w:spacing w:after="80" w:before="200"/>
      </w:pPr>
      <w:r>
        <w:rPr>
          <w:rFonts w:ascii="Calibri" w:cs="Calibri" w:eastAsia="Calibri" w:hAnsi="Calibri"/>
          <w:b/>
          <w:bCs/>
          <w:color w:val="1F2937"/>
          <w:sz w:val="24"/>
          <w:szCs w:val="24"/>
        </w:rPr>
        <w:t xml:space="preserve">Phase 1 — [Phase Name e.g. Foundation, Assessment]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1: </w:t>
      </w:r>
      <w:r>
        <w:rPr>
          <w:rFonts w:ascii="Calibri" w:cs="Calibri" w:eastAsia="Calibri" w:hAnsi="Calibri"/>
          <w:i/>
          <w:iCs/>
          <w:color w:val="E87722"/>
          <w:sz w:val="22"/>
          <w:szCs w:val="22"/>
        </w:rPr>
        <w:t xml:space="preserve">[e.g. Complete infrastructure assessment of current environment]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2: </w:t>
      </w:r>
      <w:r>
        <w:rPr>
          <w:rFonts w:ascii="Calibri" w:cs="Calibri" w:eastAsia="Calibri" w:hAnsi="Calibri"/>
          <w:i/>
          <w:iCs/>
          <w:color w:val="E87722"/>
          <w:sz w:val="22"/>
          <w:szCs w:val="22"/>
        </w:rPr>
        <w:t xml:space="preserve">[e.g. Document all running services, configurations, resource sizes, and inter-service dependencies]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3: </w:t>
      </w:r>
      <w:r>
        <w:rPr>
          <w:rFonts w:ascii="Calibri" w:cs="Calibri" w:eastAsia="Calibri" w:hAnsi="Calibri"/>
          <w:i/>
          <w:iCs/>
          <w:color w:val="E87722"/>
          <w:sz w:val="22"/>
          <w:szCs w:val="22"/>
        </w:rPr>
        <w:t xml:space="preserve">[e.g. Finalise target architecture, VPC layout, subnet segmentation, IAM structure, and security groups]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4: </w:t>
      </w:r>
      <w:r>
        <w:rPr>
          <w:rFonts w:ascii="Calibri" w:cs="Calibri" w:eastAsia="Calibri" w:hAnsi="Calibri"/>
          <w:i/>
          <w:iCs/>
          <w:color w:val="E87722"/>
          <w:sz w:val="22"/>
          <w:szCs w:val="22"/>
        </w:rPr>
        <w:t xml:space="preserve">[e.g. Provision base infrastructure: VPC, subnets, NAT Gateway, IAM roles, monitoring]</w:t>
      </w:r>
    </w:p>
    <w:p>
      <w:pPr>
        <w:spacing w:after="0" w:before="80"/>
      </w:pPr>
    </w:p>
    <w:p>
      <w:pPr>
        <w:spacing w:after="80" w:before="200"/>
      </w:pPr>
      <w:r>
        <w:rPr>
          <w:rFonts w:ascii="Calibri" w:cs="Calibri" w:eastAsia="Calibri" w:hAnsi="Calibri"/>
          <w:b/>
          <w:bCs/>
          <w:color w:val="1F2937"/>
          <w:sz w:val="24"/>
          <w:szCs w:val="24"/>
        </w:rPr>
        <w:t xml:space="preserve">Phase 2 — [Phase Name e.g. Stateless Service Migration]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1: </w:t>
      </w:r>
      <w:r>
        <w:rPr>
          <w:rFonts w:ascii="Calibri" w:cs="Calibri" w:eastAsia="Calibri" w:hAnsi="Calibri"/>
          <w:i/>
          <w:iCs/>
          <w:color w:val="E87722"/>
          <w:sz w:val="22"/>
          <w:szCs w:val="22"/>
        </w:rPr>
        <w:t xml:space="preserve">[e.g. Migrate application server from source to target environment]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2: </w:t>
      </w:r>
      <w:r>
        <w:rPr>
          <w:rFonts w:ascii="Calibri" w:cs="Calibri" w:eastAsia="Calibri" w:hAnsi="Calibri"/>
          <w:i/>
          <w:iCs/>
          <w:color w:val="E87722"/>
          <w:sz w:val="22"/>
          <w:szCs w:val="22"/>
        </w:rPr>
        <w:t xml:space="preserve">[e.g. Validate connectivity to databases during transition]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3: </w:t>
      </w:r>
      <w:r>
        <w:rPr>
          <w:rFonts w:ascii="Calibri" w:cs="Calibri" w:eastAsia="Calibri" w:hAnsi="Calibri"/>
          <w:i/>
          <w:iCs/>
          <w:color w:val="E87722"/>
          <w:sz w:val="22"/>
          <w:szCs w:val="22"/>
        </w:rPr>
        <w:t xml:space="preserve">[e.g. Optimise ingress / load balancer configuration]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4: </w:t>
      </w:r>
      <w:r>
        <w:rPr>
          <w:rFonts w:ascii="Calibri" w:cs="Calibri" w:eastAsia="Calibri" w:hAnsi="Calibri"/>
          <w:i/>
          <w:iCs/>
          <w:color w:val="E87722"/>
          <w:sz w:val="22"/>
          <w:szCs w:val="22"/>
        </w:rPr>
        <w:t xml:space="preserve">[e.g. Consolidate supporting services into new environment]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5: </w:t>
      </w:r>
      <w:r>
        <w:rPr>
          <w:rFonts w:ascii="Calibri" w:cs="Calibri" w:eastAsia="Calibri" w:hAnsi="Calibri"/>
          <w:i/>
          <w:iCs/>
          <w:color w:val="E87722"/>
          <w:sz w:val="22"/>
          <w:szCs w:val="22"/>
        </w:rPr>
        <w:t xml:space="preserve">[e.g. Validate all inter-service communication]</w:t>
      </w:r>
    </w:p>
    <w:p>
      <w:pPr>
        <w:spacing w:after="0" w:before="80"/>
      </w:pPr>
    </w:p>
    <w:p>
      <w:pPr>
        <w:spacing w:after="80" w:before="200"/>
      </w:pPr>
      <w:r>
        <w:rPr>
          <w:rFonts w:ascii="Calibri" w:cs="Calibri" w:eastAsia="Calibri" w:hAnsi="Calibri"/>
          <w:b/>
          <w:bCs/>
          <w:color w:val="1F2937"/>
          <w:sz w:val="24"/>
          <w:szCs w:val="24"/>
        </w:rPr>
        <w:t xml:space="preserve">Phase 3 — [Phase Name e.g. Database Migration]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Database 1 migration: </w:t>
      </w:r>
      <w:r>
        <w:rPr>
          <w:rFonts w:ascii="Calibri" w:cs="Calibri" w:eastAsia="Calibri" w:hAnsi="Calibri"/>
          <w:i/>
          <w:iCs/>
          <w:color w:val="E87722"/>
          <w:sz w:val="22"/>
          <w:szCs w:val="22"/>
        </w:rPr>
        <w:t xml:space="preserve">[e.g. MongoDB — provision managed service, configure replication, blue/green cutover]</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Database 2 migration: </w:t>
      </w:r>
      <w:r>
        <w:rPr>
          <w:rFonts w:ascii="Calibri" w:cs="Calibri" w:eastAsia="Calibri" w:hAnsi="Calibri"/>
          <w:i/>
          <w:iCs/>
          <w:color w:val="E87722"/>
          <w:sz w:val="22"/>
          <w:szCs w:val="22"/>
        </w:rPr>
        <w:t xml:space="preserve">[e.g. PostgreSQL — provision managed RDS, migrate data with DMS or native tools]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Database 3 migration: </w:t>
      </w:r>
      <w:r>
        <w:rPr>
          <w:rFonts w:ascii="Calibri" w:cs="Calibri" w:eastAsia="Calibri" w:hAnsi="Calibri"/>
          <w:i/>
          <w:iCs/>
          <w:color w:val="E87722"/>
          <w:sz w:val="22"/>
          <w:szCs w:val="22"/>
        </w:rPr>
        <w:t xml:space="preserve">[e.g. Redis — provision ElastiCache, flush and re-warm cache post-migration]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Database 4 migration: </w:t>
      </w:r>
      <w:r>
        <w:rPr>
          <w:rFonts w:ascii="Calibri" w:cs="Calibri" w:eastAsia="Calibri" w:hAnsi="Calibri"/>
          <w:i/>
          <w:iCs/>
          <w:color w:val="E87722"/>
          <w:sz w:val="22"/>
          <w:szCs w:val="22"/>
        </w:rPr>
        <w:t xml:space="preserve">[e.g. Elasticsearch — provision OpenSearch, migrate indices via snapshot/restore]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DNS cutover: </w:t>
      </w:r>
      <w:r>
        <w:rPr>
          <w:rFonts w:ascii="Calibri" w:cs="Calibri" w:eastAsia="Calibri" w:hAnsi="Calibri"/>
          <w:i/>
          <w:iCs/>
          <w:color w:val="E87722"/>
          <w:sz w:val="22"/>
          <w:szCs w:val="22"/>
        </w:rPr>
        <w:t xml:space="preserve">[e.g. Pre-reduce TTLs, execute cutover during low-traffic window with rollback plan]</w:t>
      </w:r>
    </w:p>
    <w:p>
      <w:pPr>
        <w:spacing w:after="0" w:before="80"/>
      </w:pPr>
    </w:p>
    <w:p>
      <w:pPr>
        <w:spacing w:after="80" w:before="200"/>
      </w:pPr>
      <w:r>
        <w:rPr>
          <w:rFonts w:ascii="Calibri" w:cs="Calibri" w:eastAsia="Calibri" w:hAnsi="Calibri"/>
          <w:b/>
          <w:bCs/>
          <w:color w:val="1F2937"/>
          <w:sz w:val="24"/>
          <w:szCs w:val="24"/>
        </w:rPr>
        <w:t xml:space="preserve">Phase 4 — [Phase Name e.g. Optimisation &amp; Handover]</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1: </w:t>
      </w:r>
      <w:r>
        <w:rPr>
          <w:rFonts w:ascii="Calibri" w:cs="Calibri" w:eastAsia="Calibri" w:hAnsi="Calibri"/>
          <w:i/>
          <w:iCs/>
          <w:color w:val="E87722"/>
          <w:sz w:val="22"/>
          <w:szCs w:val="22"/>
        </w:rPr>
        <w:t xml:space="preserve">[e.g. Right-sizing analysis using cloud-native optimisation tools]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2: </w:t>
      </w:r>
      <w:r>
        <w:rPr>
          <w:rFonts w:ascii="Calibri" w:cs="Calibri" w:eastAsia="Calibri" w:hAnsi="Calibri"/>
          <w:i/>
          <w:iCs/>
          <w:color w:val="E87722"/>
          <w:sz w:val="22"/>
          <w:szCs w:val="22"/>
        </w:rPr>
        <w:t xml:space="preserve">[e.g. Apply cost savings recommendations (Reserved Instances / Committed Use Discounts)]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3: </w:t>
      </w:r>
      <w:r>
        <w:rPr>
          <w:rFonts w:ascii="Calibri" w:cs="Calibri" w:eastAsia="Calibri" w:hAnsi="Calibri"/>
          <w:i/>
          <w:iCs/>
          <w:color w:val="E87722"/>
          <w:sz w:val="22"/>
          <w:szCs w:val="22"/>
        </w:rPr>
        <w:t xml:space="preserve">[e.g. Set up AI/ML environment foundations for planned use cases]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4: </w:t>
      </w:r>
      <w:r>
        <w:rPr>
          <w:rFonts w:ascii="Calibri" w:cs="Calibri" w:eastAsia="Calibri" w:hAnsi="Calibri"/>
          <w:i/>
          <w:iCs/>
          <w:color w:val="E87722"/>
          <w:sz w:val="22"/>
          <w:szCs w:val="22"/>
        </w:rPr>
        <w:t xml:space="preserve">[e.g. Introduce IaC (Terraform) for all newly provisioned resources]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5: </w:t>
      </w:r>
      <w:r>
        <w:rPr>
          <w:rFonts w:ascii="Calibri" w:cs="Calibri" w:eastAsia="Calibri" w:hAnsi="Calibri"/>
          <w:i/>
          <w:iCs/>
          <w:color w:val="E87722"/>
          <w:sz w:val="22"/>
          <w:szCs w:val="22"/>
        </w:rPr>
        <w:t xml:space="preserve">[e.g. Documentation handover: architecture diagrams, runbooks, operational playbooks]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6: </w:t>
      </w:r>
      <w:r>
        <w:rPr>
          <w:rFonts w:ascii="Calibri" w:cs="Calibri" w:eastAsia="Calibri" w:hAnsi="Calibri"/>
          <w:i/>
          <w:iCs/>
          <w:color w:val="E87722"/>
          <w:sz w:val="22"/>
          <w:szCs w:val="22"/>
        </w:rPr>
        <w:t xml:space="preserve">[e.g. Knowledge transfer sessions with client engineering team]</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Activity 7: </w:t>
      </w:r>
      <w:r>
        <w:rPr>
          <w:rFonts w:ascii="Calibri" w:cs="Calibri" w:eastAsia="Calibri" w:hAnsi="Calibri"/>
          <w:i/>
          <w:iCs/>
          <w:color w:val="E87722"/>
          <w:sz w:val="22"/>
          <w:szCs w:val="22"/>
        </w:rPr>
        <w:t xml:space="preserve">[e.g. Decommission source environment after validation and sign-off]</w:t>
      </w:r>
    </w:p>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OUT OF SCOPE</w:t>
      </w:r>
    </w:p>
    <w:p>
      <w:pPr>
        <w:spacing w:after="60" w:before="60"/>
      </w:pPr>
      <w:r>
        <w:rPr>
          <w:rFonts w:ascii="Calibri" w:cs="Calibri" w:eastAsia="Calibri" w:hAnsi="Calibri"/>
          <w:color w:val="1F2937"/>
          <w:sz w:val="22"/>
          <w:szCs w:val="22"/>
        </w:rPr>
        <w:t xml:space="preserve">The following items are explicitly excluded from this SOW unless agreed via a formal Change Request:</w:t>
      </w:r>
    </w:p>
    <w:p>
      <w:pPr>
        <w:spacing w:after="0" w:before="60"/>
      </w:pP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1: </w:t>
      </w:r>
      <w:r>
        <w:rPr>
          <w:rFonts w:ascii="Calibri" w:cs="Calibri" w:eastAsia="Calibri" w:hAnsi="Calibri"/>
          <w:i/>
          <w:iCs/>
          <w:color w:val="E87722"/>
          <w:sz w:val="22"/>
          <w:szCs w:val="22"/>
        </w:rPr>
        <w:t xml:space="preserve">[e.g. Application code modifications, refactoring, or feature development]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2: </w:t>
      </w:r>
      <w:r>
        <w:rPr>
          <w:rFonts w:ascii="Calibri" w:cs="Calibri" w:eastAsia="Calibri" w:hAnsi="Calibri"/>
          <w:i/>
          <w:iCs/>
          <w:color w:val="E87722"/>
          <w:sz w:val="22"/>
          <w:szCs w:val="22"/>
        </w:rPr>
        <w:t xml:space="preserve">[e.g. Business logic changes to any application or microservice]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3: </w:t>
      </w:r>
      <w:r>
        <w:rPr>
          <w:rFonts w:ascii="Calibri" w:cs="Calibri" w:eastAsia="Calibri" w:hAnsi="Calibri"/>
          <w:i/>
          <w:iCs/>
          <w:color w:val="E87722"/>
          <w:sz w:val="22"/>
          <w:szCs w:val="22"/>
        </w:rPr>
        <w:t xml:space="preserve">[e.g. Production deployment of AI/ML models beyond POC environment setup]</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4: </w:t>
      </w:r>
      <w:r>
        <w:rPr>
          <w:rFonts w:ascii="Calibri" w:cs="Calibri" w:eastAsia="Calibri" w:hAnsi="Calibri"/>
          <w:i/>
          <w:iCs/>
          <w:color w:val="E87722"/>
          <w:sz w:val="22"/>
          <w:szCs w:val="22"/>
        </w:rPr>
        <w:t xml:space="preserve">[e.g. Third-party integration configuration changes]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5: </w:t>
      </w:r>
      <w:r>
        <w:rPr>
          <w:rFonts w:ascii="Calibri" w:cs="Calibri" w:eastAsia="Calibri" w:hAnsi="Calibri"/>
          <w:i/>
          <w:iCs/>
          <w:color w:val="E87722"/>
          <w:sz w:val="22"/>
          <w:szCs w:val="22"/>
        </w:rPr>
        <w:t xml:space="preserve">[e.g. Database schema changes or application-level database tuning]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6: </w:t>
      </w:r>
      <w:r>
        <w:rPr>
          <w:rFonts w:ascii="Calibri" w:cs="Calibri" w:eastAsia="Calibri" w:hAnsi="Calibri"/>
          <w:i/>
          <w:iCs/>
          <w:color w:val="E87722"/>
          <w:sz w:val="22"/>
          <w:szCs w:val="22"/>
        </w:rPr>
        <w:t xml:space="preserve">[e.g. End-user application testing and functional validation beyond infrastructure-level verification]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7: </w:t>
      </w:r>
      <w:r>
        <w:rPr>
          <w:rFonts w:ascii="Calibri" w:cs="Calibri" w:eastAsia="Calibri" w:hAnsi="Calibri"/>
          <w:i/>
          <w:iCs/>
          <w:color w:val="E87722"/>
          <w:sz w:val="22"/>
          <w:szCs w:val="22"/>
        </w:rPr>
        <w:t xml:space="preserve">[e.g. Business continuity planning or DR architecture redesign]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Exclusion 8: </w:t>
      </w:r>
      <w:r>
        <w:rPr>
          <w:rFonts w:ascii="Calibri" w:cs="Calibri" w:eastAsia="Calibri" w:hAnsi="Calibri"/>
          <w:i/>
          <w:iCs/>
          <w:color w:val="E87722"/>
          <w:sz w:val="22"/>
          <w:szCs w:val="22"/>
        </w:rPr>
        <w:t xml:space="preserve">[e.g. Ongoing managed services or post-handover support (available under separate agreement)]</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ASSUMPTIONS &amp; RISK</w:t>
      </w:r>
    </w:p>
    <w:p>
      <w:pPr>
        <w:spacing w:after="0" w:before="60"/>
      </w:pPr>
    </w:p>
    <w:p>
      <w:pPr>
        <w:spacing w:after="80" w:before="200"/>
      </w:pPr>
      <w:r>
        <w:rPr>
          <w:rFonts w:ascii="Calibri" w:cs="Calibri" w:eastAsia="Calibri" w:hAnsi="Calibri"/>
          <w:b/>
          <w:bCs/>
          <w:color w:val="1F2937"/>
          <w:sz w:val="24"/>
          <w:szCs w:val="24"/>
        </w:rPr>
        <w:t xml:space="preserve">Key Risks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Risk 1: </w:t>
      </w:r>
      <w:r>
        <w:rPr>
          <w:rFonts w:ascii="Calibri" w:cs="Calibri" w:eastAsia="Calibri" w:hAnsi="Calibri"/>
          <w:i/>
          <w:iCs/>
          <w:color w:val="E87722"/>
          <w:sz w:val="22"/>
          <w:szCs w:val="22"/>
        </w:rPr>
        <w:t xml:space="preserve">[e.g. Primary migration risk — describe the most complex component and why]</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Risk 2: </w:t>
      </w:r>
      <w:r>
        <w:rPr>
          <w:rFonts w:ascii="Calibri" w:cs="Calibri" w:eastAsia="Calibri" w:hAnsi="Calibri"/>
          <w:i/>
          <w:iCs/>
          <w:color w:val="E87722"/>
          <w:sz w:val="22"/>
          <w:szCs w:val="22"/>
        </w:rPr>
        <w:t xml:space="preserve">[e.g. Manual infrastructure risk — absence of IaC increases execution time and human error risk]</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Risk 3: </w:t>
      </w:r>
      <w:r>
        <w:rPr>
          <w:rFonts w:ascii="Calibri" w:cs="Calibri" w:eastAsia="Calibri" w:hAnsi="Calibri"/>
          <w:i/>
          <w:iCs/>
          <w:color w:val="E87722"/>
          <w:sz w:val="22"/>
          <w:szCs w:val="22"/>
        </w:rPr>
        <w:t xml:space="preserve">[e.g. Downtime risk — specific migration steps that require brief maintenance windows]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Risk 4: </w:t>
      </w:r>
      <w:r>
        <w:rPr>
          <w:rFonts w:ascii="Calibri" w:cs="Calibri" w:eastAsia="Calibri" w:hAnsi="Calibri"/>
          <w:i/>
          <w:iCs/>
          <w:color w:val="E87722"/>
          <w:sz w:val="22"/>
          <w:szCs w:val="22"/>
        </w:rPr>
        <w:t xml:space="preserve">[e.g. Connectivity risk — describe any VPN, peering, or network dependency that must be resolved before decommission]</w:t>
      </w:r>
    </w:p>
    <w:p>
      <w:pPr>
        <w:spacing w:after="0" w:before="80"/>
      </w:pPr>
    </w:p>
    <w:p>
      <w:pPr>
        <w:spacing w:after="80" w:before="200"/>
      </w:pPr>
      <w:r>
        <w:rPr>
          <w:rFonts w:ascii="Calibri" w:cs="Calibri" w:eastAsia="Calibri" w:hAnsi="Calibri"/>
          <w:b/>
          <w:bCs/>
          <w:color w:val="1F2937"/>
          <w:sz w:val="24"/>
          <w:szCs w:val="24"/>
        </w:rPr>
        <w:t xml:space="preserve">Mitigation Measures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Mitigation 1: </w:t>
      </w:r>
      <w:r>
        <w:rPr>
          <w:rFonts w:ascii="Calibri" w:cs="Calibri" w:eastAsia="Calibri" w:hAnsi="Calibri"/>
          <w:i/>
          <w:iCs/>
          <w:color w:val="E87722"/>
          <w:sz w:val="22"/>
          <w:szCs w:val="22"/>
        </w:rPr>
        <w:t xml:space="preserve">[e.g. Blue/green migration approach with live replication prior to cutover]</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Mitigation 2: </w:t>
      </w:r>
      <w:r>
        <w:rPr>
          <w:rFonts w:ascii="Calibri" w:cs="Calibri" w:eastAsia="Calibri" w:hAnsi="Calibri"/>
          <w:i/>
          <w:iCs/>
          <w:color w:val="E87722"/>
          <w:sz w:val="22"/>
          <w:szCs w:val="22"/>
        </w:rPr>
        <w:t xml:space="preserve">[e.g. Application migration to occur before database migration to maintain stability]</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Mitigation 3: </w:t>
      </w:r>
      <w:r>
        <w:rPr>
          <w:rFonts w:ascii="Calibri" w:cs="Calibri" w:eastAsia="Calibri" w:hAnsi="Calibri"/>
          <w:i/>
          <w:iCs/>
          <w:color w:val="E87722"/>
          <w:sz w:val="22"/>
          <w:szCs w:val="22"/>
        </w:rPr>
        <w:t xml:space="preserve">[e.g. All migration steps performed with rollback procedures documented and tested in staging first]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Mitigation 4: </w:t>
      </w:r>
      <w:r>
        <w:rPr>
          <w:rFonts w:ascii="Calibri" w:cs="Calibri" w:eastAsia="Calibri" w:hAnsi="Calibri"/>
          <w:i/>
          <w:iCs/>
          <w:color w:val="E87722"/>
          <w:sz w:val="22"/>
          <w:szCs w:val="22"/>
        </w:rPr>
        <w:t xml:space="preserve">[e.g. IaC introduced progressively to document and codify all migrated infrastructure]</w:t>
      </w:r>
    </w:p>
    <w:p>
      <w:pPr>
        <w:spacing w:after="0" w:before="80"/>
      </w:pPr>
    </w:p>
    <w:p>
      <w:pPr>
        <w:spacing w:after="80" w:before="200"/>
      </w:pPr>
      <w:r>
        <w:rPr>
          <w:rFonts w:ascii="Calibri" w:cs="Calibri" w:eastAsia="Calibri" w:hAnsi="Calibri"/>
          <w:b/>
          <w:bCs/>
          <w:color w:val="1F2937"/>
          <w:sz w:val="24"/>
          <w:szCs w:val="24"/>
        </w:rPr>
        <w:t xml:space="preserve">Roles and Responsibilities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560"/>
        <w:gridCol w:w="1600"/>
      </w:tblGrid>
      <w:tr>
        <w:tc>
          <w:tcPr>
            <w:tcW w:type="dxa" w:w="22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Activity</w:t>
            </w:r>
          </w:p>
        </w:tc>
        <w:tc>
          <w:tcPr>
            <w:tcW w:type="dxa" w:w="22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[Service Provider] Responsibility</w:t>
            </w:r>
          </w:p>
        </w:tc>
        <w:tc>
          <w:tcPr>
            <w:tcW w:type="dxa" w:w="18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Client Responsibility</w:t>
            </w:r>
          </w:p>
        </w:tc>
        <w:tc>
          <w:tcPr>
            <w:tcW w:type="dxa" w:w="156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Remarks</w:t>
            </w:r>
          </w:p>
        </w:tc>
        <w:tc>
          <w:tcPr>
            <w:tcW w:type="dxa" w:w="16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Timeline</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1 e.g. Foundation, Assessment]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2 e.g. Target Architecture Design]</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3 e.g. Base Infrastructure Setup]</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4 e.g. IaC Introduction]</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5 e.g. Primary Workload Migration]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6 e.g. Database Migration]</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7 e.g. Additional Migrations]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8 e.g. Monitoring Setup]</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[Activity 9 e.g. Handover &amp; Decommission]</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[Provider tasks]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[Client tasks]</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[Remarks]</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w:t>
            </w:r>
          </w:p>
        </w:tc>
      </w:tr>
    </w:tbl>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Gantt Chart</w:t>
      </w:r>
    </w:p>
    <w:p>
      <w:pPr>
        <w:spacing w:after="60" w:before="60"/>
      </w:pPr>
      <w:r>
        <w:rPr>
          <w:rFonts w:ascii="Calibri" w:cs="Calibri" w:eastAsia="Calibri" w:hAnsi="Calibri"/>
          <w:color w:val="1F2937"/>
          <w:sz w:val="22"/>
          <w:szCs w:val="22"/>
        </w:rPr>
        <w:t xml:space="preserve">Note: Fill in the shaded cells (shown as [X]) to indicate which weeks each activity spans.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70"/>
        <w:gridCol w:w="770"/>
        <w:gridCol w:w="770"/>
        <w:gridCol w:w="770"/>
        <w:gridCol w:w="770"/>
        <w:gridCol w:w="770"/>
        <w:gridCol w:w="770"/>
        <w:gridCol w:w="770"/>
      </w:tblGrid>
      <w:tr>
        <w:tc>
          <w:tcPr>
            <w:tcW w:type="dxa" w:w="32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Activity</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W1</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W2</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W3</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W4</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W5</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W6</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W7</w:t>
            </w:r>
          </w:p>
        </w:tc>
        <w:tc>
          <w:tcPr>
            <w:tcW w:type="dxa" w:w="77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W8</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i/>
                <w:iCs/>
                <w:color w:val="E87722"/>
                <w:sz w:val="18"/>
                <w:szCs w:val="18"/>
              </w:rPr>
              <w:t xml:space="preserve">[Activity 1 e.g. Infrastructure Assessment]</w:t>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Calibri" w:cs="Calibri" w:eastAsia="Calibri" w:hAnsi="Calibri"/>
                <w:i/>
                <w:iCs/>
                <w:color w:val="E87722"/>
                <w:sz w:val="18"/>
                <w:szCs w:val="18"/>
              </w:rPr>
              <w:t xml:space="preserve">[Activity 2 e.g. Target Architecture Design]</w:t>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i/>
                <w:iCs/>
                <w:color w:val="E87722"/>
                <w:sz w:val="18"/>
                <w:szCs w:val="18"/>
              </w:rPr>
              <w:t xml:space="preserve">[Activity 3 e.g. Base Infrastructure Setup]</w:t>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Calibri" w:cs="Calibri" w:eastAsia="Calibri" w:hAnsi="Calibri"/>
                <w:i/>
                <w:iCs/>
                <w:color w:val="E87722"/>
                <w:sz w:val="18"/>
                <w:szCs w:val="18"/>
              </w:rPr>
              <w:t xml:space="preserve">[Activity 4 e.g. IaC Introduction]</w:t>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i/>
                <w:iCs/>
                <w:color w:val="E87722"/>
                <w:sz w:val="18"/>
                <w:szCs w:val="18"/>
              </w:rPr>
              <w:t xml:space="preserve">[Activity 5 e.g. Primary Workload Migration]</w:t>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Calibri" w:cs="Calibri" w:eastAsia="Calibri" w:hAnsi="Calibri"/>
                <w:i/>
                <w:iCs/>
                <w:color w:val="E87722"/>
                <w:sz w:val="18"/>
                <w:szCs w:val="18"/>
              </w:rPr>
              <w:t xml:space="preserve">[Activity 6 e.g. Database Migration]</w:t>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i/>
                <w:iCs/>
                <w:color w:val="E87722"/>
                <w:sz w:val="18"/>
                <w:szCs w:val="18"/>
              </w:rPr>
              <w:t xml:space="preserve">[Activity 7 e.g. Monitoring &amp; Logging Setup]</w:t>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Calibri" w:cs="Calibri" w:eastAsia="Calibri" w:hAnsi="Calibri"/>
                <w:i/>
                <w:iCs/>
                <w:color w:val="E87722"/>
                <w:sz w:val="18"/>
                <w:szCs w:val="18"/>
              </w:rPr>
              <w:t xml:space="preserve">[Activity 8 e.g. AI/ML Environment Setup]</w:t>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i/>
                <w:iCs/>
                <w:color w:val="E87722"/>
                <w:sz w:val="18"/>
                <w:szCs w:val="18"/>
              </w:rPr>
              <w:t xml:space="preserve">[Activity 9 e.g. Secondary Migrations]</w:t>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9FAFB" w:val="clear"/>
            <w:tcMar>
              <w:top w:type="dxa" w:w="60"/>
              <w:left w:type="dxa" w:w="60"/>
              <w:bottom w:type="dxa" w:w="60"/>
              <w:right w:type="dxa" w:w="60"/>
            </w:tcMar>
          </w:tcPr>
          <w:p>
            <w:pPr>
              <w:jc w:val="center"/>
            </w:pPr>
            <w:r>
              <w:rPr>
                <w:rFonts w:ascii="Calibri" w:cs="Calibri" w:eastAsia="Calibri" w:hAnsi="Calibri"/>
                <w:sz w:val="18"/>
                <w:szCs w:val="18"/>
              </w:rPr>
              <w:t xml:space="preserve"/>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Calibri" w:cs="Calibri" w:eastAsia="Calibri" w:hAnsi="Calibri"/>
                <w:i/>
                <w:iCs/>
                <w:color w:val="E87722"/>
                <w:sz w:val="18"/>
                <w:szCs w:val="18"/>
              </w:rPr>
              <w:t xml:space="preserve">[Activity 10 e.g. Handover &amp; Decommission]</w:t>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c>
          <w:tcPr>
            <w:tcW w:type="dxa" w:w="770"/>
            <w:tcBorders>
              <w:top w:val="single" w:color="D1D5DB" w:sz="1"/>
              <w:left w:val="single" w:color="D1D5DB" w:sz="1"/>
              <w:bottom w:val="single" w:color="D1D5DB" w:sz="1"/>
              <w:right w:val="single" w:color="D1D5DB" w:sz="1"/>
            </w:tcBorders>
            <w:shd w:fill="F3F4F6" w:val="clear"/>
            <w:tcMar>
              <w:top w:type="dxa" w:w="60"/>
              <w:left w:type="dxa" w:w="60"/>
              <w:bottom w:type="dxa" w:w="60"/>
              <w:right w:type="dxa" w:w="60"/>
            </w:tcMar>
          </w:tcPr>
          <w:p>
            <w:pPr>
              <w:jc w:val="center"/>
            </w:pPr>
            <w:r>
              <w:rPr>
                <w:rFonts w:ascii="Calibri" w:cs="Calibri" w:eastAsia="Calibri" w:hAnsi="Calibri"/>
                <w:sz w:val="18"/>
                <w:szCs w:val="18"/>
              </w:rPr>
              <w:t xml:space="preserve"/>
            </w:r>
          </w:p>
        </w:tc>
      </w:tr>
    </w:tbl>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Acceptance &amp; Success Criteria</w:t>
      </w:r>
    </w:p>
    <w:p>
      <w:pPr>
        <w:spacing w:after="60" w:before="60"/>
      </w:pPr>
      <w:r>
        <w:rPr>
          <w:rFonts w:ascii="Calibri" w:cs="Calibri" w:eastAsia="Calibri" w:hAnsi="Calibri"/>
          <w:color w:val="1F2937"/>
          <w:sz w:val="22"/>
          <w:szCs w:val="22"/>
        </w:rPr>
        <w:t xml:space="preserve">The project will be determined successful by the following criteria:</w:t>
      </w:r>
    </w:p>
    <w:p>
      <w:pPr>
        <w:spacing w:after="0" w:before="60"/>
      </w:pP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1: </w:t>
      </w:r>
      <w:r>
        <w:rPr>
          <w:rFonts w:ascii="Calibri" w:cs="Calibri" w:eastAsia="Calibri" w:hAnsi="Calibri"/>
          <w:i/>
          <w:iCs/>
          <w:color w:val="E87722"/>
          <w:sz w:val="22"/>
          <w:szCs w:val="22"/>
        </w:rPr>
        <w:t xml:space="preserve">[e.g. All source workloads successfully migrated to target environment with no data loss]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2: </w:t>
      </w:r>
      <w:r>
        <w:rPr>
          <w:rFonts w:ascii="Calibri" w:cs="Calibri" w:eastAsia="Calibri" w:hAnsi="Calibri"/>
          <w:i/>
          <w:iCs/>
          <w:color w:val="E87722"/>
          <w:sz w:val="22"/>
          <w:szCs w:val="22"/>
        </w:rPr>
        <w:t xml:space="preserve">[e.g. Target platform best practices implemented as agreed in the Technical Design Document]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3: </w:t>
      </w:r>
      <w:r>
        <w:rPr>
          <w:rFonts w:ascii="Calibri" w:cs="Calibri" w:eastAsia="Calibri" w:hAnsi="Calibri"/>
          <w:i/>
          <w:iCs/>
          <w:color w:val="E87722"/>
          <w:sz w:val="22"/>
          <w:szCs w:val="22"/>
        </w:rPr>
        <w:t xml:space="preserve">[e.g. All migrated services accessible and operational in the target environment]</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4: </w:t>
      </w:r>
      <w:r>
        <w:rPr>
          <w:rFonts w:ascii="Calibri" w:cs="Calibri" w:eastAsia="Calibri" w:hAnsi="Calibri"/>
          <w:i/>
          <w:iCs/>
          <w:color w:val="E87722"/>
          <w:sz w:val="22"/>
          <w:szCs w:val="22"/>
        </w:rPr>
        <w:t xml:space="preserve">[e.g. Monitoring, logging, and alerting operational on target platform]</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5: </w:t>
      </w:r>
      <w:r>
        <w:rPr>
          <w:rFonts w:ascii="Calibri" w:cs="Calibri" w:eastAsia="Calibri" w:hAnsi="Calibri"/>
          <w:i/>
          <w:iCs/>
          <w:color w:val="E87722"/>
          <w:sz w:val="22"/>
          <w:szCs w:val="22"/>
        </w:rPr>
        <w:t xml:space="preserve">[e.g. AI/ML or new capability environment provisioned and ready for use]</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6: </w:t>
      </w:r>
      <w:r>
        <w:rPr>
          <w:rFonts w:ascii="Calibri" w:cs="Calibri" w:eastAsia="Calibri" w:hAnsi="Calibri"/>
          <w:i/>
          <w:iCs/>
          <w:color w:val="E87722"/>
          <w:sz w:val="22"/>
          <w:szCs w:val="22"/>
        </w:rPr>
        <w:t xml:space="preserve">[e.g. IaC modules delivered and validated for all key infrastructure components]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7: </w:t>
      </w:r>
      <w:r>
        <w:rPr>
          <w:rFonts w:ascii="Calibri" w:cs="Calibri" w:eastAsia="Calibri" w:hAnsi="Calibri"/>
          <w:i/>
          <w:iCs/>
          <w:color w:val="E87722"/>
          <w:sz w:val="22"/>
          <w:szCs w:val="22"/>
        </w:rPr>
        <w:t xml:space="preserve">[e.g. Source environment decommissioned following client sign-off]</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Criterion 8: </w:t>
      </w:r>
      <w:r>
        <w:rPr>
          <w:rFonts w:ascii="Calibri" w:cs="Calibri" w:eastAsia="Calibri" w:hAnsi="Calibri"/>
          <w:i/>
          <w:iCs/>
          <w:color w:val="E87722"/>
          <w:sz w:val="22"/>
          <w:szCs w:val="22"/>
        </w:rPr>
        <w:t xml:space="preserve">[e.g. Knowledge transfer completed with client engineering team]</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Prerequisites to Begin Work</w:t>
      </w:r>
    </w:p>
    <w:p>
      <w:pPr>
        <w:spacing w:after="60" w:before="60"/>
      </w:pPr>
      <w:r>
        <w:rPr>
          <w:rFonts w:ascii="Calibri" w:cs="Calibri" w:eastAsia="Calibri" w:hAnsi="Calibri"/>
          <w:color w:val="1F2937"/>
          <w:sz w:val="22"/>
          <w:szCs w:val="22"/>
        </w:rPr>
        <w:t xml:space="preserve">[Service Provider Name]'s team requires that all system access to the Client's infrastructure and environments is approved and granted before project kick-off. Access to the Client's systems will ensure that estimated timelines and project goals are delivered as laid out in this SOW. Any delays caused on the customer side could result in changes to the estimated cost and timelines, resulting in a change order for an extension.</w:t>
      </w:r>
    </w:p>
    <w:p>
      <w:pPr>
        <w:spacing w:after="0" w:before="60"/>
      </w:pPr>
    </w:p>
    <w:p>
      <w:pPr>
        <w:spacing w:after="60" w:before="60"/>
      </w:pPr>
      <w:r>
        <w:rPr>
          <w:rFonts w:ascii="Calibri" w:cs="Calibri" w:eastAsia="Calibri" w:hAnsi="Calibri"/>
          <w:color w:val="1F2937"/>
          <w:sz w:val="22"/>
          <w:szCs w:val="22"/>
        </w:rPr>
        <w:t xml:space="preserve">The following list includes common access required to perform a standard project:</w:t>
      </w:r>
    </w:p>
    <w:p>
      <w:pPr>
        <w:spacing w:after="0" w:before="40"/>
      </w:pP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Access 1: </w:t>
      </w:r>
      <w:r>
        <w:rPr>
          <w:rFonts w:ascii="Calibri" w:cs="Calibri" w:eastAsia="Calibri" w:hAnsi="Calibri"/>
          <w:i/>
          <w:iCs/>
          <w:color w:val="E87722"/>
          <w:sz w:val="22"/>
          <w:szCs w:val="22"/>
        </w:rPr>
        <w:t xml:space="preserve">[e.g. Target cloud account access — read-only billing access for assessment; write access for execution]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Access 2: </w:t>
      </w:r>
      <w:r>
        <w:rPr>
          <w:rFonts w:ascii="Calibri" w:cs="Calibri" w:eastAsia="Calibri" w:hAnsi="Calibri"/>
          <w:i/>
          <w:iCs/>
          <w:color w:val="E87722"/>
          <w:sz w:val="22"/>
          <w:szCs w:val="22"/>
        </w:rPr>
        <w:t xml:space="preserve">[e.g. Source platform access — read-only for assessment; resource access for migration]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Access 3: </w:t>
      </w:r>
      <w:r>
        <w:rPr>
          <w:rFonts w:ascii="Calibri" w:cs="Calibri" w:eastAsia="Calibri" w:hAnsi="Calibri"/>
          <w:i/>
          <w:iCs/>
          <w:color w:val="E87722"/>
          <w:sz w:val="22"/>
          <w:szCs w:val="22"/>
        </w:rPr>
        <w:t xml:space="preserve">[e.g. 3-month detailed usage and billing reports for all platforms]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Access 4: </w:t>
      </w:r>
      <w:r>
        <w:rPr>
          <w:rFonts w:ascii="Calibri" w:cs="Calibri" w:eastAsia="Calibri" w:hAnsi="Calibri"/>
          <w:i/>
          <w:iCs/>
          <w:color w:val="E87722"/>
          <w:sz w:val="22"/>
          <w:szCs w:val="22"/>
        </w:rPr>
        <w:t xml:space="preserve">[e.g. Architecture diagrams and any existing infrastructure documentation]</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Access 5: </w:t>
      </w:r>
      <w:r>
        <w:rPr>
          <w:rFonts w:ascii="Calibri" w:cs="Calibri" w:eastAsia="Calibri" w:hAnsi="Calibri"/>
          <w:i/>
          <w:iCs/>
          <w:color w:val="E87722"/>
          <w:sz w:val="22"/>
          <w:szCs w:val="22"/>
        </w:rPr>
        <w:t xml:space="preserve">[e.g. Database connection details and configuration for migration planning]</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Access 6: </w:t>
      </w:r>
      <w:r>
        <w:rPr>
          <w:rFonts w:ascii="Calibri" w:cs="Calibri" w:eastAsia="Calibri" w:hAnsi="Calibri"/>
          <w:i/>
          <w:iCs/>
          <w:color w:val="E87722"/>
          <w:sz w:val="22"/>
          <w:szCs w:val="22"/>
        </w:rPr>
        <w:t xml:space="preserve">[e.g. DNS access for cutover coordination]</w:t>
      </w:r>
    </w:p>
    <w:p>
      <w:pPr>
        <w:pStyle w:val="ListParagraph"/>
        <w:numPr>
          <w:ilvl w:val="0"/>
          <w:numId w:val="2"/>
        </w:numPr>
        <w:spacing w:after="40" w:before="40"/>
        <w:ind w:left="720" w:hanging="360"/>
      </w:pPr>
      <w:r>
        <w:rPr>
          <w:rFonts w:ascii="Calibri" w:cs="Calibri" w:eastAsia="Calibri" w:hAnsi="Calibri"/>
          <w:color w:val="1F2937"/>
          <w:sz w:val="22"/>
          <w:szCs w:val="22"/>
        </w:rPr>
        <w:t xml:space="preserve">MFA and verification tools</w:t>
      </w:r>
    </w:p>
    <w:p>
      <w:pPr>
        <w:pStyle w:val="ListParagraph"/>
        <w:numPr>
          <w:ilvl w:val="0"/>
          <w:numId w:val="2"/>
        </w:numPr>
        <w:spacing w:after="40" w:before="40"/>
        <w:ind w:left="720" w:hanging="360"/>
      </w:pPr>
      <w:r>
        <w:rPr>
          <w:rFonts w:ascii="Calibri" w:cs="Calibri" w:eastAsia="Calibri" w:hAnsi="Calibri"/>
          <w:color w:val="1F2937"/>
          <w:sz w:val="22"/>
          <w:szCs w:val="22"/>
        </w:rPr>
        <w:t xml:space="preserve">Security clearance and contractor onboarding protocols</w:t>
      </w:r>
    </w:p>
    <w:p>
      <w:pPr>
        <w:spacing w:after="0" w:before="60"/>
      </w:pPr>
    </w:p>
    <w:p>
      <w:pPr>
        <w:spacing w:after="80" w:before="200"/>
      </w:pPr>
      <w:r>
        <w:rPr>
          <w:rFonts w:ascii="Calibri" w:cs="Calibri" w:eastAsia="Calibri" w:hAnsi="Calibri"/>
          <w:b/>
          <w:bCs/>
          <w:color w:val="1F2937"/>
          <w:sz w:val="24"/>
          <w:szCs w:val="24"/>
        </w:rPr>
        <w:t xml:space="preserve">Communication Channels</w:t>
      </w: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Preferred channel: </w:t>
      </w:r>
      <w:r>
        <w:rPr>
          <w:rFonts w:ascii="Calibri" w:cs="Calibri" w:eastAsia="Calibri" w:hAnsi="Calibri"/>
          <w:i/>
          <w:iCs/>
          <w:color w:val="E87722"/>
          <w:sz w:val="22"/>
          <w:szCs w:val="22"/>
        </w:rPr>
        <w:t xml:space="preserve">[e.g. Slack, Google Chat, Microsoft Teams]</w:t>
      </w:r>
    </w:p>
    <w:p>
      <w:pPr>
        <w:pStyle w:val="ListParagraph"/>
        <w:numPr>
          <w:ilvl w:val="0"/>
          <w:numId w:val="2"/>
        </w:numPr>
        <w:spacing w:after="40" w:before="40"/>
        <w:ind w:left="720" w:hanging="360"/>
      </w:pPr>
      <w:r>
        <w:rPr>
          <w:rFonts w:ascii="Calibri" w:cs="Calibri" w:eastAsia="Calibri" w:hAnsi="Calibri"/>
          <w:color w:val="1F2937"/>
          <w:sz w:val="22"/>
          <w:szCs w:val="22"/>
        </w:rPr>
        <w:t xml:space="preserve">Email distribution lists and escalation contacts</w:t>
      </w:r>
    </w:p>
    <w:p>
      <w:pPr>
        <w:spacing w:after="0" w:before="60"/>
      </w:pPr>
    </w:p>
    <w:p>
      <w:pPr>
        <w:spacing w:after="80" w:before="200"/>
      </w:pPr>
      <w:r>
        <w:rPr>
          <w:rFonts w:ascii="Calibri" w:cs="Calibri" w:eastAsia="Calibri" w:hAnsi="Calibri"/>
          <w:b/>
          <w:bCs/>
          <w:color w:val="1F2937"/>
          <w:sz w:val="24"/>
          <w:szCs w:val="24"/>
        </w:rPr>
        <w:t xml:space="preserve">Escalation Matrix</w:t>
      </w:r>
    </w:p>
    <w:p>
      <w:pPr>
        <w:pStyle w:val="ListParagraph"/>
        <w:numPr>
          <w:ilvl w:val="0"/>
          <w:numId w:val="2"/>
        </w:numPr>
        <w:spacing w:after="40" w:before="40"/>
        <w:ind w:left="720" w:hanging="360"/>
      </w:pPr>
      <w:r>
        <w:rPr>
          <w:rFonts w:ascii="Calibri" w:cs="Calibri" w:eastAsia="Calibri" w:hAnsi="Calibri"/>
          <w:color w:val="1F2937"/>
          <w:sz w:val="22"/>
          <w:szCs w:val="22"/>
        </w:rPr>
        <w:t xml:space="preserve">IT Support contacts</w:t>
      </w:r>
    </w:p>
    <w:p>
      <w:pPr>
        <w:pStyle w:val="ListParagraph"/>
        <w:numPr>
          <w:ilvl w:val="0"/>
          <w:numId w:val="2"/>
        </w:numPr>
        <w:spacing w:after="40" w:before="40"/>
        <w:ind w:left="720" w:hanging="360"/>
      </w:pPr>
      <w:r>
        <w:rPr>
          <w:rFonts w:ascii="Calibri" w:cs="Calibri" w:eastAsia="Calibri" w:hAnsi="Calibri"/>
          <w:color w:val="1F2937"/>
          <w:sz w:val="22"/>
          <w:szCs w:val="22"/>
        </w:rPr>
        <w:t xml:space="preserve">Key decision-maker contacts</w:t>
      </w:r>
    </w:p>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Milestone</w:t>
            </w:r>
          </w:p>
        </w:tc>
        <w:tc>
          <w:tcPr>
            <w:tcW w:type="dxa" w:w="456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20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Timeline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Project Kick Off &amp; Implementation Phase Start</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[Describe — e.g. Project Kick Off. Infrastructure creation and primary workload migration (as mentioned in the in-scope)]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[X-X Weeks]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[Intermediate Milestone]</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[Describe milestone and deliverables]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[Week X-X]</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Handoff and Project Close</w:t>
            </w:r>
          </w:p>
        </w:tc>
        <w:tc>
          <w:tcPr>
            <w:tcW w:type="dxa" w:w="45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Playbook Development, Documentation, Knowledge Transfer, and Project Close-Out</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[X-X Weeks]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TOTAL</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[X Weeks]</w:t>
            </w:r>
          </w:p>
        </w:tc>
      </w:tr>
    </w:tbl>
    <w:p>
      <w:pPr>
        <w:spacing w:after="0" w:before="80"/>
      </w:pPr>
    </w:p>
    <w:p>
      <w:pPr>
        <w:pBdr>
          <w:bottom w:val="single" w:color="2E75B6" w:sz="4" w:space="4"/>
        </w:pBdr>
        <w:spacing w:after="120" w:before="320"/>
      </w:pPr>
      <w:r>
        <w:rPr>
          <w:rFonts w:ascii="Calibri" w:cs="Calibri" w:eastAsia="Calibri" w:hAnsi="Calibri"/>
          <w:b/>
          <w:bCs/>
          <w:color w:val="2E75B6"/>
          <w:sz w:val="28"/>
          <w:szCs w:val="2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Deliverable</w:t>
            </w:r>
          </w:p>
        </w:tc>
        <w:tc>
          <w:tcPr>
            <w:tcW w:type="dxa" w:w="616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Technical Design Document (TDD)</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An inventory of target platform configuration options, decisions, and recommendations for the basic foundation deployment</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Source Code</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Infrastructure as Code (IaC) templates for deployment of key infrastructure elements needed to facilitate the [migration / implementation]</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[Target Platform] Environment</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[Description — e.g. Functional AWS infrastructure (Test, Staging, Production environments) for the Client to deploy applications/workloads]</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Close Out Documentation</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Handoff documentation on best practices and examples of various tasks to be completed by Client's engineers based on the above activities</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TCO</w:t>
            </w:r>
          </w:p>
        </w:tc>
        <w:tc>
          <w:tcPr>
            <w:tcW w:type="dxa" w:w="61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Cost estimates for resources consumed by the deployed infrastructure</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[Additional Deliverable]</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[Description]</w:t>
            </w:r>
          </w:p>
        </w:tc>
      </w:tr>
    </w:tbl>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Team</w:t>
      </w:r>
    </w:p>
    <w:p>
      <w:pPr>
        <w:spacing w:after="0" w:before="60"/>
      </w:pPr>
    </w:p>
    <w:p>
      <w:pPr>
        <w:spacing w:after="80" w:before="200"/>
      </w:pPr>
      <w:r>
        <w:rPr>
          <w:rFonts w:ascii="Calibri" w:cs="Calibri" w:eastAsia="Calibri" w:hAnsi="Calibri"/>
          <w:b/>
          <w:bCs/>
          <w:color w:val="1F2937"/>
          <w:sz w:val="24"/>
          <w:szCs w:val="24"/>
        </w:rPr>
        <w:t xml:space="preserve">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Resource</w:t>
            </w:r>
          </w:p>
        </w:tc>
        <w:tc>
          <w:tcPr>
            <w:tcW w:type="dxa" w:w="12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Quantity</w:t>
            </w:r>
          </w:p>
        </w:tc>
        <w:tc>
          <w:tcPr>
            <w:tcW w:type="dxa" w:w="576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Primary Point of Contact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1 Resource
25% Allocation</w:t>
            </w:r>
          </w:p>
        </w:tc>
        <w:tc>
          <w:tcPr>
            <w:tcW w:type="dxa" w:w="576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Serves as Client's single point of contact for all matters relating to the engagement. Ensures team has the access necessary to complete the deliverables. Responsible for deliverable review, requirements prioritisation, issue resolution and escalation, and key programme decisions. Procures appropriate resources for providing information or decision-making as necessary.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Subject Matter Experts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1 Resource
25% Allocation</w:t>
            </w:r>
          </w:p>
        </w:tc>
        <w:tc>
          <w:tcPr>
            <w:tcW w:type="dxa" w:w="5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Provides guidance and information for their respective Application, Workload, or Service they are responsible for. Point of contact for requirements across compliance, technical integration, development practice, and design.</w:t>
            </w:r>
          </w:p>
        </w:tc>
      </w:tr>
    </w:tbl>
    <w:p>
      <w:pPr>
        <w:spacing w:after="0" w:before="80"/>
      </w:pPr>
    </w:p>
    <w:p>
      <w:pPr>
        <w:spacing w:after="80" w:before="200"/>
      </w:pPr>
      <w:r>
        <w:rPr>
          <w:rFonts w:ascii="Calibri" w:cs="Calibri" w:eastAsia="Calibri" w:hAnsi="Calibri"/>
          <w:b/>
          <w:bCs/>
          <w:color w:val="1F2937"/>
          <w:sz w:val="24"/>
          <w:szCs w:val="24"/>
        </w:rPr>
        <w:t xml:space="preserve">[Service Provider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800"/>
        <w:gridCol w:w="2000"/>
        <w:gridCol w:w="2640"/>
      </w:tblGrid>
      <w:tr>
        <w:tc>
          <w:tcPr>
            <w:tcW w:type="dxa" w:w="72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 No</w:t>
            </w:r>
          </w:p>
        </w:tc>
        <w:tc>
          <w:tcPr>
            <w:tcW w:type="dxa" w:w="32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Resource Type</w:t>
            </w:r>
          </w:p>
        </w:tc>
        <w:tc>
          <w:tcPr>
            <w:tcW w:type="dxa" w:w="8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Qty</w:t>
            </w:r>
          </w:p>
        </w:tc>
        <w:tc>
          <w:tcPr>
            <w:tcW w:type="dxa" w:w="200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Allocation</w:t>
            </w:r>
          </w:p>
        </w:tc>
        <w:tc>
          <w:tcPr>
            <w:tcW w:type="dxa" w:w="264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Hours</w:t>
            </w:r>
          </w:p>
        </w:tc>
      </w:tr>
      <w:tr>
        <w:tc>
          <w:tcPr>
            <w:tcW w:type="dxa" w:w="72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1</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[e.g. Sr. Solution Architect (L4)]</w:t>
            </w:r>
          </w:p>
        </w:tc>
        <w:tc>
          <w:tcPr>
            <w:tcW w:type="dxa" w:w="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[25%]</w:t>
            </w:r>
          </w:p>
        </w:tc>
        <w:tc>
          <w:tcPr>
            <w:tcW w:type="dxa" w:w="264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[60]</w:t>
            </w:r>
          </w:p>
        </w:tc>
      </w:tr>
      <w:tr>
        <w:tc>
          <w:tcPr>
            <w:tcW w:type="dxa" w:w="7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2</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[e.g. Cloud Engineer]</w:t>
            </w:r>
          </w:p>
        </w:tc>
        <w:tc>
          <w:tcPr>
            <w:tcW w:type="dxa" w:w="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[75%]</w:t>
            </w:r>
          </w:p>
        </w:tc>
        <w:tc>
          <w:tcPr>
            <w:tcW w:type="dxa" w:w="26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[320]</w:t>
            </w:r>
          </w:p>
        </w:tc>
      </w:tr>
      <w:tr>
        <w:tc>
          <w:tcPr>
            <w:tcW w:type="dxa" w:w="72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3</w:t>
            </w:r>
          </w:p>
        </w:tc>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[e.g. Project Manager]</w:t>
            </w:r>
          </w:p>
        </w:tc>
        <w:tc>
          <w:tcPr>
            <w:tcW w:type="dxa" w:w="8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[25%]</w:t>
            </w:r>
          </w:p>
        </w:tc>
        <w:tc>
          <w:tcPr>
            <w:tcW w:type="dxa" w:w="264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i/>
                <w:iCs/>
                <w:color w:val="E87722"/>
                <w:sz w:val="20"/>
                <w:szCs w:val="20"/>
              </w:rPr>
              <w:t xml:space="preserve">[60]</w:t>
            </w:r>
          </w:p>
        </w:tc>
      </w:tr>
      <w:tr>
        <w:tc>
          <w:tcPr>
            <w:tcW w:type="dxa" w:w="7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4</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[Additional Resource]</w:t>
            </w:r>
          </w:p>
        </w:tc>
        <w:tc>
          <w:tcPr>
            <w:tcW w:type="dxa" w:w="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[X]</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[X%]</w:t>
            </w:r>
          </w:p>
        </w:tc>
        <w:tc>
          <w:tcPr>
            <w:tcW w:type="dxa" w:w="26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i/>
                <w:iCs/>
                <w:color w:val="E87722"/>
                <w:sz w:val="20"/>
                <w:szCs w:val="20"/>
              </w:rPr>
              <w:t xml:space="preserve">[X]</w:t>
            </w:r>
          </w:p>
        </w:tc>
      </w:tr>
    </w:tbl>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Limitations</w:t>
      </w:r>
    </w:p>
    <w:p>
      <w:pPr>
        <w:spacing w:after="0" w:before="60"/>
      </w:pPr>
    </w:p>
    <w:p>
      <w:pPr>
        <w:spacing w:after="80" w:before="200"/>
      </w:pPr>
      <w:r>
        <w:rPr>
          <w:rFonts w:ascii="Calibri" w:cs="Calibri" w:eastAsia="Calibri" w:hAnsi="Calibri"/>
          <w:b/>
          <w:bCs/>
          <w:color w:val="1F2937"/>
          <w:sz w:val="24"/>
          <w:szCs w:val="24"/>
        </w:rPr>
        <w:t xml:space="preserve">Change in Scope</w:t>
      </w:r>
    </w:p>
    <w:p>
      <w:pPr>
        <w:spacing w:after="60" w:before="60"/>
      </w:pPr>
      <w:r>
        <w:rPr>
          <w:rFonts w:ascii="Calibri" w:cs="Calibri" w:eastAsia="Calibri" w:hAnsi="Calibri"/>
          <w:color w:val="1F2937"/>
          <w:sz w:val="22"/>
          <w:szCs w:val="22"/>
        </w:rPr>
        <w:t xml:space="preserve">Significant changes to the scope, activities, expectations, or timeline identified above will result in creating a Change Order. Client or [Service Provider Name] may request modifications to an executed SOW by submitting a written change order request to the other party. If acceptable to both parties, the Change Order will be executed by the parties and will become part of the applicable executed SOW. Neither party will be bound by the terms of any Change Order until it is executed by both parties.</w:t>
      </w:r>
    </w:p>
    <w:p>
      <w:pPr>
        <w:spacing w:after="0" w:before="80"/>
      </w:pPr>
    </w:p>
    <w:p>
      <w:pPr>
        <w:spacing w:after="80" w:before="200"/>
      </w:pPr>
      <w:r>
        <w:rPr>
          <w:rFonts w:ascii="Calibri" w:cs="Calibri" w:eastAsia="Calibri" w:hAnsi="Calibri"/>
          <w:b/>
          <w:bCs/>
          <w:color w:val="1F2937"/>
          <w:sz w:val="24"/>
          <w:szCs w:val="24"/>
        </w:rPr>
        <w:t xml:space="preserve">Caveats &amp; Assumptions</w:t>
      </w:r>
    </w:p>
    <w:p>
      <w:pPr>
        <w:spacing w:after="60" w:before="60"/>
      </w:pPr>
      <w:r>
        <w:rPr>
          <w:rFonts w:ascii="Calibri" w:cs="Calibri" w:eastAsia="Calibri" w:hAnsi="Calibri"/>
          <w:color w:val="1F2937"/>
          <w:sz w:val="22"/>
          <w:szCs w:val="22"/>
        </w:rPr>
        <w:t xml:space="preserve">Any "Caveats &amp; Assumptions" described below are critical to a successful implementation of this SOW. Anything [Service Provider Name] assumes in this SOW impacts the estimates for the project timeline, level of effort, and pricing. Client confirms that the caveats and assumptions listed below are understood and accurate.</w:t>
      </w:r>
    </w:p>
    <w:p>
      <w:pPr>
        <w:spacing w:after="0" w:before="60"/>
      </w:pPr>
    </w:p>
    <w:p>
      <w:pPr>
        <w:pStyle w:val="ListParagraph"/>
        <w:numPr>
          <w:ilvl w:val="0"/>
          <w:numId w:val="2"/>
        </w:numPr>
        <w:spacing w:after="40" w:before="60"/>
        <w:ind w:left="720" w:hanging="360"/>
      </w:pPr>
      <w:r>
        <w:rPr>
          <w:rFonts w:ascii="Calibri" w:cs="Calibri" w:eastAsia="Calibri" w:hAnsi="Calibri"/>
          <w:b/>
          <w:bCs/>
          <w:color w:val="1F2937"/>
          <w:sz w:val="22"/>
          <w:szCs w:val="22"/>
        </w:rPr>
        <w:t xml:space="preserve">Point of Contact / Decision-Maker: </w:t>
      </w:r>
      <w:r>
        <w:rPr>
          <w:rFonts w:ascii="Calibri" w:cs="Calibri" w:eastAsia="Calibri" w:hAnsi="Calibri"/>
          <w:color w:val="1F2937"/>
          <w:sz w:val="22"/>
          <w:szCs w:val="22"/>
        </w:rPr>
        <w:t xml:space="preserve">Our timeline anticipates timely responses for any authorisation, approval, and User Acceptance Testing (UAT) required. We expect same-business-day responses to maintain the committed timeline. [Service Provider Name] will require the customer to validate and test each environment to ensure the system operates as expected.</w:t>
      </w:r>
    </w:p>
    <w:p>
      <w:pPr>
        <w:spacing w:after="60" w:before="0"/>
        <w:ind w:left="1080"/>
      </w:pPr>
      <w:r>
        <w:rPr>
          <w:rFonts w:ascii="Calibri" w:cs="Calibri" w:eastAsia="Calibri" w:hAnsi="Calibri"/>
          <w:color w:val="1F2937"/>
          <w:sz w:val="22"/>
          <w:szCs w:val="22"/>
        </w:rPr>
        <w:t xml:space="preserve">[Service Provider Name] will deem the Client's acceptance of any deliverables within 3 business days of delivery unless otherwise stated in writing via email. If no response is received within that time frame, deliverables will be deemed accepted. Once deliverables are deemed accepted, no further changes will be incorporated without a Change Order.</w:t>
      </w:r>
    </w:p>
    <w:p>
      <w:pPr>
        <w:pStyle w:val="ListParagraph"/>
        <w:numPr>
          <w:ilvl w:val="0"/>
          <w:numId w:val="2"/>
        </w:numPr>
        <w:spacing w:after="40" w:before="60"/>
        <w:ind w:left="720" w:hanging="360"/>
      </w:pPr>
      <w:r>
        <w:rPr>
          <w:rFonts w:ascii="Calibri" w:cs="Calibri" w:eastAsia="Calibri" w:hAnsi="Calibri"/>
          <w:b/>
          <w:bCs/>
          <w:color w:val="1F2937"/>
          <w:sz w:val="22"/>
          <w:szCs w:val="22"/>
        </w:rPr>
        <w:t xml:space="preserve">Timely Cooperation: </w:t>
      </w:r>
      <w:r>
        <w:rPr>
          <w:rFonts w:ascii="Calibri" w:cs="Calibri" w:eastAsia="Calibri" w:hAnsi="Calibri"/>
          <w:color w:val="1F2937"/>
          <w:sz w:val="22"/>
          <w:szCs w:val="22"/>
        </w:rPr>
        <w:t xml:space="preserve">During the project, [Service Provider Name] personnel will undoubtedly have questions about the Client's systems and applications that are critical to delivering a successful project on time. The Client confirms that the Client's team members will answer project and technical questions as they arise promptly.</w:t>
      </w:r>
    </w:p>
    <w:p>
      <w:pPr>
        <w:pStyle w:val="ListParagraph"/>
        <w:numPr>
          <w:ilvl w:val="0"/>
          <w:numId w:val="2"/>
        </w:numPr>
        <w:spacing w:after="40" w:before="60"/>
        <w:ind w:left="720" w:hanging="360"/>
      </w:pPr>
      <w:r>
        <w:rPr>
          <w:rFonts w:ascii="Calibri" w:cs="Calibri" w:eastAsia="Calibri" w:hAnsi="Calibri"/>
          <w:b/>
          <w:bCs/>
          <w:color w:val="1F2937"/>
          <w:sz w:val="22"/>
          <w:szCs w:val="22"/>
        </w:rPr>
        <w:t xml:space="preserve">Services Sign-off: </w:t>
      </w:r>
      <w:r>
        <w:rPr>
          <w:rFonts w:ascii="Calibri" w:cs="Calibri" w:eastAsia="Calibri" w:hAnsi="Calibri"/>
          <w:color w:val="1F2937"/>
          <w:sz w:val="22"/>
          <w:szCs w:val="22"/>
        </w:rPr>
        <w:t xml:space="preserve">If [Service Provider Name] receives no communication from the Client for 10 business days, [Service Provider Name] will close the project and bill for services rendered.</w:t>
      </w:r>
    </w:p>
    <w:p>
      <w:pPr>
        <w:pStyle w:val="ListParagraph"/>
        <w:numPr>
          <w:ilvl w:val="0"/>
          <w:numId w:val="2"/>
        </w:numPr>
        <w:spacing w:after="40" w:before="60"/>
        <w:ind w:left="720" w:hanging="360"/>
      </w:pPr>
      <w:r>
        <w:rPr>
          <w:rFonts w:ascii="Calibri" w:cs="Calibri" w:eastAsia="Calibri" w:hAnsi="Calibri"/>
          <w:b/>
          <w:bCs/>
          <w:color w:val="1F2937"/>
          <w:sz w:val="22"/>
          <w:szCs w:val="22"/>
        </w:rPr>
        <w:t xml:space="preserve">Term: </w:t>
      </w:r>
      <w:r>
        <w:rPr>
          <w:rFonts w:ascii="Calibri" w:cs="Calibri" w:eastAsia="Calibri" w:hAnsi="Calibri"/>
          <w:color w:val="1F2937"/>
          <w:sz w:val="22"/>
          <w:szCs w:val="22"/>
        </w:rPr>
        <w:t xml:space="preserve">Customer acknowledges that [Service Provider Name] will provide services not to exceed the Term defined for this SOW. The Term starts upon project Kickoff. Extensions to this term will require a Change Order and may incur additional costs.</w:t>
      </w:r>
    </w:p>
    <w:p>
      <w:pPr>
        <w:spacing w:after="0" w:before="80"/>
      </w:pPr>
    </w:p>
    <w:p>
      <w:pPr>
        <w:pStyle w:val="ListParagraph"/>
        <w:numPr>
          <w:ilvl w:val="0"/>
          <w:numId w:val="2"/>
        </w:numPr>
        <w:spacing w:after="40" w:before="40"/>
        <w:ind w:left="720" w:hanging="360"/>
      </w:pPr>
      <w:r>
        <w:rPr>
          <w:rFonts w:ascii="Calibri" w:cs="Calibri" w:eastAsia="Calibri" w:hAnsi="Calibri"/>
          <w:b/>
          <w:bCs/>
          <w:color w:val="1F2937"/>
          <w:sz w:val="22"/>
          <w:szCs w:val="22"/>
        </w:rPr>
        <w:t xml:space="preserve">Additional Caveat / Assumption: </w:t>
      </w:r>
      <w:r>
        <w:rPr>
          <w:rFonts w:ascii="Calibri" w:cs="Calibri" w:eastAsia="Calibri" w:hAnsi="Calibri"/>
          <w:i/>
          <w:iCs/>
          <w:color w:val="E87722"/>
          <w:sz w:val="22"/>
          <w:szCs w:val="22"/>
        </w:rPr>
        <w:t xml:space="preserve">[add project-specific assumption here]</w:t>
      </w:r>
    </w:p>
    <w:p>
      <w:pPr>
        <w:spacing w:after="0" w:before="80"/>
      </w:pPr>
    </w:p>
    <w:p>
      <w:r>
        <w:br w:type="page"/>
      </w:r>
    </w:p>
    <w:p>
      <w:pPr>
        <w:pBdr>
          <w:bottom w:val="single" w:color="2E75B6" w:sz="4" w:space="4"/>
        </w:pBdr>
        <w:spacing w:after="120" w:before="320"/>
      </w:pPr>
      <w:r>
        <w:rPr>
          <w:rFonts w:ascii="Calibri" w:cs="Calibri" w:eastAsia="Calibri" w:hAnsi="Calibri"/>
          <w:b/>
          <w:bCs/>
          <w:color w:val="2E75B6"/>
          <w:sz w:val="28"/>
          <w:szCs w:val="28"/>
        </w:rPr>
        <w:t xml:space="preserve">Signature &amp; Agreement</w:t>
      </w:r>
    </w:p>
    <w:p>
      <w:pPr>
        <w:spacing w:after="60" w:before="60"/>
      </w:pPr>
      <w:r>
        <w:rPr>
          <w:rFonts w:ascii="Calibri" w:cs="Calibri" w:eastAsia="Calibri" w:hAnsi="Calibri"/>
          <w:color w:val="1F2937"/>
          <w:sz w:val="22"/>
          <w:szCs w:val="22"/>
        </w:rPr>
        <w:t xml:space="preserve">By signing below, both parties agree to the terms and conditions set forth in this Statement of Work.</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[Service Provider Name]</w:t>
            </w:r>
          </w:p>
        </w:tc>
        <w:tc>
          <w:tcPr>
            <w:tcW w:type="dxa" w:w="4680"/>
            <w:tcBorders>
              <w:top w:val="single" w:color="D1D5DB" w:sz="1"/>
              <w:left w:val="single" w:color="D1D5DB" w:sz="1"/>
              <w:bottom w:val="single" w:color="D1D5DB" w:sz="1"/>
              <w:right w:val="single" w:color="D1D5DB" w:sz="1"/>
            </w:tcBorders>
            <w:shd w:fill="2E75B6"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[Client Legal Name]</w:t>
            </w:r>
          </w:p>
        </w:tc>
      </w:tr>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Signature: ___________________________</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Signature: ___________________________</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Name: ________________________________</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Name: ________________________________</w:t>
            </w:r>
          </w:p>
        </w:tc>
      </w:tr>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Title: _______________________________</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Title: _______________________________</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Date: ________________________________</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Date: ________________________________</w:t>
            </w:r>
          </w:p>
        </w:tc>
      </w:tr>
    </w:tbl>
    <w:p>
      <w:pPr>
        <w:spacing w:after="0" w:before="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Calibri" w:cs="Calibri" w:eastAsia="Calibri" w:hAnsi="Calibri"/>
        <w:color w:val="6B7280"/>
        <w:sz w:val="18"/>
        <w:szCs w:val="18"/>
      </w:rPr>
      <w:t xml:space="preserve">[Service Provider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Calibri" w:cs="Calibri" w:eastAsia="Calibri" w:hAnsi="Calibri"/>
        <w:color w:val="6B7280"/>
        <w:sz w:val="18"/>
        <w:szCs w:val="18"/>
      </w:rPr>
      <w:t xml:space="preserve">[Project Title] — Statement of Work</w:t>
    </w:r>
    <w:r>
      <w:rPr>
        <w:rFonts w:ascii="Calibri" w:cs="Calibri" w:eastAsia="Calibri" w:hAnsi="Calibri"/>
        <w:b/>
        <w:bCs/>
        <w:color w:val="E87722"/>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2026-04-24T05:59:10.523Z</dcterms:created>
  <dcterms:modified xsi:type="dcterms:W3CDTF">2026-04-24T05:59:10.523Z</dcterms:modified>
</cp:coreProperties>
</file>

<file path=docProps/custom.xml><?xml version="1.0" encoding="utf-8"?>
<Properties xmlns="http://schemas.openxmlformats.org/officeDocument/2006/custom-properties" xmlns:vt="http://schemas.openxmlformats.org/officeDocument/2006/docPropsVTypes"/>
</file>