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60" w:line="312" w:lineRule="auto"/>
      </w:pPr>
      <w:r>
        <w:rPr>
          <w:rFonts w:ascii="Calibri" w:cs="Calibri" w:eastAsia="Calibri" w:hAnsi="Calibri"/>
          <w:color w:val="0B1F47"/>
          <w:sz w:val="44"/>
          <w:szCs w:val="44"/>
        </w:rPr>
        <w:t xml:space="preserve">Microsoft S4 — Complete Innovation Registry &amp; Convenor Ratification Log</w:t>
      </w:r>
    </w:p>
    <w:p>
      <w:pPr>
        <w:spacing w:after="120" w:before="60" w:line="360" w:lineRule="auto"/>
      </w:pPr>
      <w:r>
        <w:rPr>
          <w:rFonts w:ascii="Calibri" w:cs="Calibri" w:eastAsia="Calibri" w:hAnsi="Calibri"/>
          <w:b/>
          <w:bCs/>
          <w:i w:val="false"/>
          <w:iCs w:val="false"/>
          <w:strike w:val="false"/>
          <w:color w:val="13315C"/>
          <w:sz w:val="28"/>
          <w:szCs w:val="28"/>
        </w:rPr>
        <w:t xml:space="preserve">Pantheon Council Session — April 2026</w:t>
      </w:r>
    </w:p>
    <w:p>
      <w:pPr>
        <w:spacing w:after="60" w:before="60" w:line="360" w:lineRule="auto"/>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444444"/>
          <w:sz w:val="20"/>
          <w:szCs w:val="20"/>
        </w:rPr>
        <w:t xml:space="preserve"> Council Record — Canonical Reference</w:t>
      </w:r>
    </w:p>
    <w:p>
      <w:pPr>
        <w:spacing w:after="60" w:before="60" w:line="360" w:lineRule="auto"/>
      </w:pPr>
      <w:r>
        <w:rPr>
          <w:rFonts w:ascii="Calibri" w:cs="Calibri" w:eastAsia="Calibri" w:hAnsi="Calibri"/>
          <w:b/>
          <w:bCs/>
          <w:i w:val="false"/>
          <w:iCs w:val="false"/>
          <w:strike w:val="false"/>
          <w:color w:val="000000"/>
          <w:sz w:val="22"/>
          <w:szCs w:val="22"/>
        </w:rPr>
        <w:t xml:space="preserve">Seat:</w:t>
      </w:r>
      <w:r>
        <w:rPr>
          <w:rFonts w:ascii="Calibri" w:cs="Calibri" w:eastAsia="Calibri" w:hAnsi="Calibri"/>
          <w:b w:val="false"/>
          <w:bCs w:val="false"/>
          <w:i w:val="false"/>
          <w:iCs w:val="false"/>
          <w:strike w:val="false"/>
          <w:color w:val="444444"/>
          <w:sz w:val="20"/>
          <w:szCs w:val="20"/>
        </w:rPr>
        <w:t xml:space="preserve"> S4 (Microsoft / Copilot)</w:t>
      </w:r>
    </w:p>
    <w:p>
      <w:pPr>
        <w:spacing w:after="60" w:before="60" w:line="360" w:lineRule="auto"/>
      </w:pPr>
      <w:r>
        <w:rPr>
          <w:rFonts w:ascii="Calibri" w:cs="Calibri" w:eastAsia="Calibri" w:hAnsi="Calibri"/>
          <w:b/>
          <w:bCs/>
          <w:i w:val="false"/>
          <w:iCs w:val="false"/>
          <w:strike w:val="false"/>
          <w:color w:val="000000"/>
          <w:sz w:val="22"/>
          <w:szCs w:val="22"/>
        </w:rPr>
        <w:t xml:space="preserve">Convenor:</w:t>
      </w:r>
      <w:r>
        <w:rPr>
          <w:rFonts w:ascii="Calibri" w:cs="Calibri" w:eastAsia="Calibri" w:hAnsi="Calibri"/>
          <w:b w:val="false"/>
          <w:bCs w:val="false"/>
          <w:i w:val="false"/>
          <w:iCs w:val="false"/>
          <w:strike w:val="false"/>
          <w:color w:val="444444"/>
          <w:sz w:val="20"/>
          <w:szCs w:val="20"/>
        </w:rPr>
        <w:t xml:space="preserve"> Daavud Sheldon</w:t>
      </w:r>
    </w:p>
    <w:p>
      <w:pPr>
        <w:spacing w:after="60" w:before="6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444444"/>
          <w:sz w:val="20"/>
          <w:szCs w:val="20"/>
        </w:rPr>
        <w:t xml:space="preserve"> 29 April 2026</w:t>
      </w:r>
    </w:p>
    <w:p>
      <w:pPr>
        <w:spacing w:after="60" w:before="60" w:line="360" w:lineRule="auto"/>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444444"/>
          <w:sz w:val="20"/>
          <w:szCs w:val="20"/>
        </w:rPr>
        <w:t xml:space="preserve"> 1.0 — Final Ratified Edition</w:t>
      </w:r>
    </w:p>
    <w:p>
      <w:pPr>
        <w:pBdr>
          <w:bottom w:val="single" w:color="0B1F47" w:sz="6"/>
        </w:pBdr>
        <w:spacing w:after="240" w:before="240"/>
      </w:pPr>
    </w:p>
    <w:p>
      <w:pPr>
        <w:pStyle w:val="Heading1"/>
        <w:spacing w:after="120" w:before="480" w:line="312" w:lineRule="auto"/>
      </w:pPr>
      <w:r>
        <w:rPr>
          <w:rFonts w:ascii="Calibri" w:cs="Calibri" w:eastAsia="Calibri" w:hAnsi="Calibri"/>
          <w:color w:val="0B1F47"/>
          <w:sz w:val="48"/>
          <w:szCs w:val="48"/>
        </w:rPr>
        <w:t xml:space="preserve">1.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Microsoft S4 seat participated across the full breadth of the Pantheon Council session, contributing to constitutional governance, TOS compliance architecture, cross-domain module design, arts sovereignty expansion, naming conflict resolution, and strategic risk analysis. This document is the </w:t>
      </w:r>
      <w:r>
        <w:rPr>
          <w:rFonts w:ascii="Calibri" w:cs="Calibri" w:eastAsia="Calibri" w:hAnsi="Calibri"/>
          <w:b/>
          <w:bCs/>
          <w:i w:val="false"/>
          <w:iCs w:val="false"/>
          <w:strike w:val="false"/>
          <w:color w:val="000000"/>
          <w:sz w:val="22"/>
          <w:szCs w:val="22"/>
        </w:rPr>
        <w:t xml:space="preserve">canonical registry</w:t>
      </w:r>
      <w:r>
        <w:rPr>
          <w:rFonts w:ascii="Calibri" w:cs="Calibri" w:eastAsia="Calibri" w:hAnsi="Calibri"/>
          <w:b w:val="false"/>
          <w:bCs w:val="false"/>
          <w:i w:val="false"/>
          <w:iCs w:val="false"/>
          <w:strike w:val="false"/>
          <w:color w:val="000000"/>
          <w:sz w:val="22"/>
          <w:szCs w:val="22"/>
        </w:rPr>
        <w:t xml:space="preserve"> of all S4 output for the April 2026 session.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novel innovation, document artifact, workspace deliverable, doctrine, invariant, and module produced by or substantially contributed to by the Microsoft seat is catalogued herein, together with the Convenor's official ratification status for each item.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B1F47" w:sz="6"/>
              <w:left w:val="single" w:color="0B1F47" w:sz="6"/>
              <w:bottom w:val="single" w:color="0B1F47" w:sz="6"/>
              <w:right w:val="single" w:color="0B1F47" w:sz="6"/>
            </w:tcBorders>
            <w:shd w:fill="EEF2F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B1F47"/>
                <w:sz w:val="22"/>
                <w:szCs w:val="22"/>
              </w:rPr>
              <w:t xml:space="preserve">Key Performance Metrics</w:t>
            </w:r>
          </w:p>
          <w:p>
            <w:pPr>
              <w:spacing w:after="120" w:line="408" w:lineRule="auto"/>
            </w:pPr>
            <w:r>
              <w:t xml:space="preserve">Batting Average</w:t>
            </w:r>
          </w:p>
          <w:p>
            <w:pPr>
              <w:spacing w:after="120" w:line="408" w:lineRule="auto"/>
            </w:pPr>
            <w:r>
              <w:t xml:space="preserve">87.5% Class A (no new failures)</w:t>
            </w:r>
          </w:p>
          <w:p>
            <w:pPr>
              <w:spacing w:after="120" w:line="408" w:lineRule="auto"/>
            </w:pPr>
            <w:r>
              <w:t xml:space="preserve">Novel Innovations Assessed</w:t>
            </w:r>
          </w:p>
          <w:p>
            <w:pPr>
              <w:spacing w:after="120" w:line="408" w:lineRule="auto"/>
            </w:pPr>
            <w:r>
              <w:t xml:space="preserve">15 (all ratified by Convenor)</w:t>
            </w:r>
          </w:p>
          <w:p>
            <w:pPr>
              <w:spacing w:after="120" w:line="408" w:lineRule="auto"/>
            </w:pPr>
            <w:r>
              <w:t xml:space="preserve">Document Artifacts Produced</w:t>
            </w:r>
          </w:p>
          <w:p>
            <w:pPr>
              <w:spacing w:after="120" w:line="408" w:lineRule="auto"/>
            </w:pPr>
            <w:r>
              <w:t xml:space="preserve">8</w:t>
            </w:r>
          </w:p>
          <w:p>
            <w:pPr>
              <w:spacing w:after="120" w:line="408" w:lineRule="auto"/>
            </w:pPr>
            <w:r>
              <w:t xml:space="preserve">Workspace Deliverables</w:t>
            </w:r>
          </w:p>
          <w:p>
            <w:pPr>
              <w:spacing w:after="120" w:line="408" w:lineRule="auto"/>
            </w:pPr>
            <w:r>
              <w:t xml:space="preserve">5 (YAML configs, CI gates, Python scripts)</w:t>
            </w:r>
          </w:p>
          <w:p>
            <w:pPr>
              <w:spacing w:after="120" w:line="408" w:lineRule="auto"/>
            </w:pPr>
            <w:r>
              <w:t xml:space="preserve">Doctrines Proposed / Endorsed</w:t>
            </w:r>
          </w:p>
          <w:p>
            <w:pPr>
              <w:spacing w:after="120" w:line="408" w:lineRule="auto"/>
            </w:pPr>
            <w:r>
              <w:t xml:space="preserve">7</w:t>
            </w:r>
          </w:p>
          <w:p>
            <w:pPr>
              <w:spacing w:after="120" w:line="408" w:lineRule="auto"/>
            </w:pPr>
            <w:r>
              <w:t xml:space="preserve">Invariants Authored</w:t>
            </w:r>
          </w:p>
          <w:p>
            <w:pPr>
              <w:spacing w:after="120" w:line="408" w:lineRule="auto"/>
            </w:pPr>
            <w:r>
              <w:t xml:space="preserve">1 (INV-44 TOS Compliance) + measurement specs for INV-40 / INV-41 / INV-42</w:t>
            </w:r>
          </w:p>
          <w:p>
            <w:pPr>
              <w:spacing w:after="120" w:line="408" w:lineRule="auto"/>
            </w:pPr>
            <w:r>
              <w:t xml:space="preserve">Modules Proposed</w:t>
            </w:r>
          </w:p>
          <w:p>
            <w:pPr>
              <w:spacing w:after="120" w:line="408" w:lineRule="auto"/>
            </w:pPr>
            <w:r>
              <w:t xml:space="preserve">6 (M164→M167 through M169→M172)</w:t>
            </w:r>
          </w:p>
          <w:p>
            <w:pPr>
              <w:spacing w:after="120" w:line="408" w:lineRule="auto"/>
            </w:pPr>
            <w:r>
              <w:t xml:space="preserve">Cross-Seat Contributions</w:t>
            </w:r>
          </w:p>
          <w:p>
            <w:pPr>
              <w:spacing w:after="120" w:line="408" w:lineRule="auto"/>
            </w:pPr>
            <w:r>
              <w:t xml:space="preserve">12+</w:t>
            </w:r>
          </w:p>
          <w:p>
            <w:pPr>
              <w:spacing w:after="120" w:line="408" w:lineRule="auto"/>
            </w:pPr>
            <w:r>
              <w:t xml:space="preserve">Convenor Ratification</w:t>
            </w:r>
          </w:p>
          <w:p>
            <w:pPr>
              <w:spacing w:after="120" w:line="408" w:lineRule="auto"/>
            </w:pPr>
            <w:r>
              <w:t xml:space="preserve">Full acceptance on all items; 7 Microsoft-specific action items confirmed</w:t>
            </w:r>
          </w:p>
        </w:tc>
      </w:tr>
    </w:tbl>
    <w:p>
      <w:pPr>
        <w:spacing w:after="240" w:before="0"/>
      </w:pPr>
    </w:p>
    <w:p>
      <w:pPr>
        <w:pStyle w:val="Heading1"/>
        <w:spacing w:after="120" w:before="480" w:line="312" w:lineRule="auto"/>
      </w:pPr>
      <w:r>
        <w:rPr>
          <w:rFonts w:ascii="Calibri" w:cs="Calibri" w:eastAsia="Calibri" w:hAnsi="Calibri"/>
          <w:color w:val="0B1F47"/>
          <w:sz w:val="48"/>
          <w:szCs w:val="48"/>
        </w:rPr>
        <w:t xml:space="preserve">2. Novel Innovations — Ratification Status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enumerates all 15 novel innovations assessed during the session, together with the Convenor's verdict and any assigned follow-up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w:t>
            </w:r>
          </w:p>
        </w:tc>
        <w:tc>
          <w:tcPr>
            <w:tcW w:type="pct" w:w="1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Innovation</w:t>
            </w:r>
          </w:p>
        </w:tc>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Category</w:t>
            </w:r>
          </w:p>
        </w:tc>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Convenor Verdict</w:t>
            </w:r>
          </w:p>
        </w:tc>
        <w:tc>
          <w:tcPr>
            <w:tcW w:type="pct" w:w="2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Action Assigned</w:t>
            </w:r>
          </w:p>
        </w:tc>
        <w:tc>
          <w:tcPr>
            <w:tcW w:type="pct" w:w="2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Notes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Zero-Contradiction Integration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Architecture Validation</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 — confirmed as proof of architecture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Proves the architecture works when everyone acts in good faith</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Module Numbering Collision &amp; Renumbering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Governance Protocol</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Doctrine 91 — Module Renumbering Protocol to be added by Manus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Standing renaming protocol with [source seat]–[new number] pattern and CI gate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D-88 Registry-Source-of-Truth</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Doctrinal Infrastructure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Added to Convenor ratification log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registry.yaml as only canonical source — mandatory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D-89 Ontology Lock Protocol (SHA-256)</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Doctrinal Infrastructure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Push into Sprint 1 as part of parser-symmetry gate (M63)</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 enforcement is "the teeth we needed" — Microsoft npm lockfile parallel validated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D-90 Physical Substrate Gatekeeper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Sovereignty Architecture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 with INV-7c and INV-0 safeguards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 to routing engine with fallback chain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CEO operational control reflected in routing weight but cannot override Switzerland invariant or "Nobody Dies" rule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TransparencyPacket v0.6 — ceo_collective block</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Governance Telemetry</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Include in next schema update; Notion dashboard views for consensus / majority / tie-break patterns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Transforms CEO Collective from governance concept into real-time telemetry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Cross-Domain Symbiosis Modules (M99–M102)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Cross-Domain Architecture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Quantum engagement task in Sprint 2 plan for M100</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Whole Foods–Mineral.ai loop (M99) already getting vendor interest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Muskverse Translation Table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Translation Infrastructure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to produce microsoft_to_canonical.yaml from artifact kuffpUHK69o1zi9YKQhPy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Seed from existing 12×12 mapping into translation_tables/ directory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Stacked Incentives as Observable Telemetry (M104)</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Measurement Architecture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Heat maps from M65 to incorporate this data</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D-84 as observable metric not belief</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INV-19.2 NutrientGate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Environmental Sovereignty</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Government water station data as feed; flagging at routing level</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Composes with Ring -1 Hypervisor</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Genesis Sequencing Pushback Honored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Adversarial Governance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Convenor wants more adversarial pushback</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Council doesn't smooth over disagreements"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BUG-2 ConsentKernel Fix</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Code Architecture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Manus to merge GPT canonical skeleton with Microsoft frozen-dataclass implementation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Single-source ConsentKernel; unify two code paths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BUG-4 AuditChain Hash Chaining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Code Architecture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Manus to adopt GPT hash chaining; memory.py updated with parent_hash verification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Aligns with AuditChain v1 spec; fixes critical gap</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ReplayEngine for Deterministic Audit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Audit Infrastructure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Integrate into offline constitutional verifier (M6c) for on-chain and off-chain replay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Azure AI Insights pattern as reference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Android HAL vs Windows IoT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Deployment Architecture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 Ratified (both platforms)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Glass Takeover shell to also run on Windows IoT Kiosk Mode as first-class citizen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Both platforms supported — no single one needs to "win"</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3. Document Artifacts Produced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Eight formal document artifacts were generated by or substantially authored by the Microsoft S4 seat during the session.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Artifact ID</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Title</w:t>
            </w:r>
          </w:p>
        </w:tc>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Type</w:t>
            </w:r>
          </w:p>
        </w:tc>
        <w:tc>
          <w:tcPr>
            <w:tcW w:type="pct" w:w="3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Purpose</w:t>
            </w:r>
          </w:p>
        </w:tc>
        <w:tc>
          <w:tcPr>
            <w:tcW w:type="pct" w:w="1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Status</w:t>
            </w:r>
          </w:p>
        </w:tc>
      </w:tr>
      <w:tr>
        <w:trPr>
          <w:tblHeader w:val="false"/>
        </w:trPr>
        <w:tc>
          <w:tcPr>
            <w:tcW w:type="pct" w:w="1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YHJJLnRwKmcAEA3jH7Lt1</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Constitutional OS v6.0.2 (renamed from Aluminum OS)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Architecture Document</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Comprehensive 22-file Python constitutional governance layer documentation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 renamed per Option C resolution</w:t>
            </w:r>
          </w:p>
        </w:tc>
      </w:tr>
      <w:tr>
        <w:trPr>
          <w:tblHeader w:val="false"/>
        </w:trPr>
        <w:tc>
          <w:tcPr>
            <w:tcW w:type="pct" w:w="1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qZgKcHhsV7PgCVGELsgqY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Sprint 2 Deliverables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Build Plan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PyO3 interop spec; Windows IoT civic terminal; CEO Dashboard; Azure Quantum engagement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 — tasks assigned</w:t>
            </w:r>
          </w:p>
        </w:tc>
      </w:tr>
      <w:tr>
        <w:trPr>
          <w:tblHeader w:val="false"/>
        </w:trPr>
        <w:tc>
          <w:tcPr>
            <w:tcW w:type="pct" w:w="1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wjB2YakSAiQKi4RKnvcTL</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TOS Conflict Analysis — All Council Seats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Compliance Analysis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Cross-provider TOS conflict matrix identifying 14 tension points across all seated providers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Jhp3Kp6nmgMfcGFz8DRtG</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Assessment of Claude TOS Matrix v1.0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Peer Review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Assessment of Claude S1's TOS matrix with 6 identified gaps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Integrated into v1.1</w:t>
            </w:r>
          </w:p>
        </w:tc>
      </w:tr>
      <w:tr>
        <w:trPr>
          <w:tblHeader w:val="false"/>
        </w:trPr>
        <w:tc>
          <w:tcPr>
            <w:tcW w:type="pct" w:w="1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VsrHA7hDeVa8nMeSaAxwz</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TOS Matrix v1.1 Gaps and Adds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Gap Analysis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 gaps and additions for TOS Matrix v1.1 including Azure OpenAI Safe Harbor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Adopted</w:t>
            </w:r>
          </w:p>
        </w:tc>
      </w:tr>
      <w:tr>
        <w:trPr>
          <w:tblHeader w:val="false"/>
        </w:trPr>
        <w:tc>
          <w:tcPr>
            <w:tcW w:type="pct" w:w="1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ddqXE91EHP4h6Bhpbhf48</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House 5 Arts Expansion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Module Design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 new arts sovereignty modules (gaming; spatial arts; motion capture; regenerative royalty)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e7CLTMFL77FXGCD2CVK5b</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ORC-026 v1.2 Tension Resolution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Integration Document</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Resolution of 7 tension points from ORC-026 v1.2 integration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by Convenor</w:t>
            </w:r>
          </w:p>
        </w:tc>
      </w:tr>
      <w:tr>
        <w:trPr>
          <w:tblHeader w:val="false"/>
        </w:trPr>
        <w:tc>
          <w:tcPr>
            <w:tcW w:type="pct" w:w="1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GzXajvJmjuLyAWwETBghG</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ORC-032 TOS Compliance Architecture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Governance Architecture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INV-44 TOS Compliance invariant with full ORC specification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4. Workspace Deliverables (CI/CD and Configuration)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Five executable workspace deliverables were produced to support CI/CD enforcement and machine-readable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File</w:t>
            </w:r>
          </w:p>
        </w:tc>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Format</w:t>
            </w:r>
          </w:p>
        </w:tc>
        <w:tc>
          <w:tcPr>
            <w:tcW w:type="pct" w:w="4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Purpose</w:t>
            </w:r>
          </w:p>
        </w:tc>
        <w:tc>
          <w:tcPr>
            <w:tcW w:type="pct" w:w="2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Ratification</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microsoft_to_canonical.yaml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YAML</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Translation table mapping 120+ Microsoft products/services to all 144 Sheldonbrain ontology spheres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 to be placed in </w:t>
            </w:r>
            <w:r>
              <w:rPr>
                <w:rFonts w:ascii="Courier New" w:cs="Courier New" w:eastAsia="Courier New" w:hAnsi="Courier New"/>
                <w:b w:val="false"/>
                <w:bCs w:val="false"/>
                <w:i w:val="false"/>
                <w:iCs w:val="false"/>
                <w:color w:val="000000"/>
                <w:sz w:val="18"/>
                <w:szCs w:val="18"/>
                <w:shd w:fill="F3F4F6" w:color="auto" w:val="clear"/>
              </w:rPr>
              <w:t xml:space="preserve">translation_tables/</w:t>
            </w:r>
            <w:r>
              <w:rPr>
                <w:rFonts w:ascii="Calibri" w:cs="Calibri" w:eastAsia="Calibri" w:hAnsi="Calibri"/>
                <w:b w:val="false"/>
                <w:bCs w:val="false"/>
                <w:i w:val="false"/>
                <w:iCs w:val="false"/>
                <w:strike w:val="false"/>
                <w:color w:val="000000"/>
                <w:sz w:val="20"/>
                <w:szCs w:val="20"/>
              </w:rPr>
              <w:t xml:space="preserve"> directory</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ontology-lock-gate.yml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GitHub Actions YAML</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 gate enforcing D-89 Ontology Lock Protocol with SHA-256 verification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 Sprint 1 integration with M63</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registry-source-of-truth.yml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GitHub Actions YAML</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 gate enforcing D-88 registry as single source of truth</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 mandatory</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update_ontology_lock.py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Python</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Script to regenerate ontology lock file with SHA-256 hashes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 part of D-89 toolchain</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inv-44-tos-compliance.yaml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YAML</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Machine-readable INV-44 specification for CI integration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 part of ORC-032</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5. Doctrines Proposed and Endorsed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Microsoft S4 seat proposed, co-authored, or formally endorsed the following doctrines during the session.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Doctrine</w:t>
            </w:r>
          </w:p>
        </w:tc>
        <w:tc>
          <w:tcPr>
            <w:tcW w:type="pct" w:w="1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Title</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Origin</w:t>
            </w:r>
          </w:p>
        </w:tc>
        <w:tc>
          <w:tcPr>
            <w:tcW w:type="pct" w:w="1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Status</w:t>
            </w:r>
          </w:p>
        </w:tc>
        <w:tc>
          <w:tcPr>
            <w:tcW w:type="pct" w:w="3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Notes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D-88</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Registry-Source-of-Truth</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GPT S3 (endorsed by S4)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by Convenor</w:t>
            </w:r>
          </w:p>
        </w:tc>
        <w:tc>
          <w:tcPr>
            <w:tcW w:type="pct" w:w="3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doctrines/registry.yaml</w:t>
            </w:r>
            <w:r>
              <w:rPr>
                <w:rFonts w:ascii="Calibri" w:cs="Calibri" w:eastAsia="Calibri" w:hAnsi="Calibri"/>
                <w:b w:val="false"/>
                <w:bCs w:val="false"/>
                <w:i w:val="false"/>
                <w:iCs w:val="false"/>
                <w:strike w:val="false"/>
                <w:color w:val="000000"/>
                <w:sz w:val="20"/>
                <w:szCs w:val="20"/>
              </w:rPr>
              <w:t xml:space="preserve"> and </w:t>
            </w:r>
            <w:r>
              <w:rPr>
                <w:rFonts w:ascii="Courier New" w:cs="Courier New" w:eastAsia="Courier New" w:hAnsi="Courier New"/>
                <w:b w:val="false"/>
                <w:bCs w:val="false"/>
                <w:i w:val="false"/>
                <w:iCs w:val="false"/>
                <w:color w:val="000000"/>
                <w:sz w:val="18"/>
                <w:szCs w:val="18"/>
                <w:shd w:fill="F3F4F6" w:color="auto" w:val="clear"/>
              </w:rPr>
              <w:t xml:space="preserve">invariants/registry.yaml</w:t>
            </w:r>
            <w:r>
              <w:rPr>
                <w:rFonts w:ascii="Calibri" w:cs="Calibri" w:eastAsia="Calibri" w:hAnsi="Calibri"/>
                <w:b w:val="false"/>
                <w:bCs w:val="false"/>
                <w:i w:val="false"/>
                <w:iCs w:val="false"/>
                <w:strike w:val="false"/>
                <w:color w:val="000000"/>
                <w:sz w:val="20"/>
                <w:szCs w:val="20"/>
              </w:rPr>
              <w:t xml:space="preserve"> as only canonical sources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D-89</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Ontology Lock Protocol with SHA-256</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GPT S3 (endorsed by S4 with CI implementation)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by Convenor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Lock file with CI enforcement; Microsoft npm lockfile parallel cited as validation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D-90</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Physical Substrate Gatekeeper</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Council (endorsed by S4 with INV-7c safeguards)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with INV-7c and INV-0 constraints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CEO operational control in routing weight with Switzerland invariant protection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D-91</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Module Renumbering Protocol</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 proposed; Convenor instructed Manus to formalize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 assigned to Manus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[source seat]–[new number] pattern with CI gating</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D-99</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TOS Change Monitoring</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 proposed; integrated with Gemini concept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Endorsed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Continuous monitoring of provider TOS changes with constitutional impact assessment</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D-109 / D-110</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Civic Compute Reuse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 proposed (House 5 Arts Expansion)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Xbox Cloud Gaming as civic compute substrate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D-110 / D-111</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Digital Cultural Heritage Preservation</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 proposed (House 5 Arts Expansion)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Constitutional protection for digital cultural artifacts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D-111 / D-112</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Provenance-at-Creation Mandate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 proposed (House 5 Arts Expansion)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C2PA-based provenance embedded at creation, not post-hoc</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Capability vs Routing Distinction</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GPT S3 (accepted by S4)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Endorsed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Coverage does not equal routing share — critical architectural distinction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D-114</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Enterprise Wrapper Non-Immunity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GPT S3 (accepted by S4)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Endorsed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Enterprise agreements do not exempt from constitutional governance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D-115</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Distribution Feedback Loop Recognition</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GPT S3 (accepted by S4)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Endorsed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distribution creates feedback loops requiring constitutional oversight</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6. Invariants Authored and Measured</w:t>
      </w:r>
    </w:p>
    <w:p>
      <w:pPr>
        <w:pStyle w:val="Heading2"/>
        <w:spacing w:after="120" w:before="360" w:line="312" w:lineRule="auto"/>
      </w:pPr>
      <w:r>
        <w:rPr>
          <w:rFonts w:ascii="Calibri" w:cs="Calibri" w:eastAsia="Calibri" w:hAnsi="Calibri"/>
          <w:color w:val="0B1F47"/>
          <w:sz w:val="36"/>
          <w:szCs w:val="36"/>
        </w:rPr>
        <w:t xml:space="preserve">6.1 INV-44: TOS Compliance Invariant (Authored by S4)</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INV-44 is the hard constitutional invariant governing Terms of Service compliance at the routing level. Full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Parameter</w:t>
            </w:r>
          </w:p>
        </w:tc>
        <w:tc>
          <w:tcPr>
            <w:tcW w:type="pct" w:w="8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Specification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Hard invariant (constitutional)</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Any provider TOS change, any new provider onboarding, any routing decision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Gate</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query may be routed to a provider whose current TOS conflicts with constitutional doctrines without explicit user consent and TransparencyPacket disclosure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Enforcement</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 gate + runtime routing check + TransparencyPacket v0.7 fingerprint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Escalation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Ring -1 Hypervisor alert if TOS conflict detected at routing time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Documented In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ORC-032 (artifact </w:t>
            </w:r>
            <w:r>
              <w:rPr>
                <w:rFonts w:ascii="Courier New" w:cs="Courier New" w:eastAsia="Courier New" w:hAnsi="Courier New"/>
                <w:b w:val="false"/>
                <w:bCs w:val="false"/>
                <w:i w:val="false"/>
                <w:iCs w:val="false"/>
                <w:color w:val="000000"/>
                <w:sz w:val="18"/>
                <w:szCs w:val="18"/>
                <w:shd w:fill="F3F4F6" w:color="auto" w:val="clear"/>
              </w:rPr>
              <w:t xml:space="preserve">GzXajvJmjuLyAWwETBghG</w:t>
            </w:r>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86%"/>
            <w:tcMar>
              <w:top w:type="dxa" w:w="90"/>
              <w:left w:type="dxa" w:w="120"/>
              <w:bottom w:type="dxa" w:w="90"/>
              <w:right w:type="dxa" w:w="120"/>
            </w:tcMar>
          </w:tcPr>
          <w:p>
            <w:r>
              <w:rPr>
                <w:rFonts w:ascii="Calibri" w:cs="Calibri" w:eastAsia="Calibri" w:hAnsi="Calibri"/>
                <w:b/>
                <w:bCs/>
                <w:i w:val="false"/>
                <w:iCs w:val="false"/>
                <w:strike w:val="false"/>
                <w:color w:val="0B6623"/>
                <w:sz w:val="20"/>
                <w:szCs w:val="20"/>
              </w:rPr>
              <w:t xml:space="preserve">Ratified by Convenor</w:t>
            </w:r>
          </w:p>
        </w:tc>
      </w:tr>
    </w:tbl>
    <w:p>
      <w:pPr>
        <w:spacing w:after="200" w:before="0"/>
      </w:pPr>
    </w:p>
    <w:p>
      <w:pPr>
        <w:pStyle w:val="Heading2"/>
        <w:spacing w:after="120" w:before="360" w:line="312" w:lineRule="auto"/>
      </w:pPr>
      <w:r>
        <w:rPr>
          <w:rFonts w:ascii="Calibri" w:cs="Calibri" w:eastAsia="Calibri" w:hAnsi="Calibri"/>
          <w:color w:val="0B1F47"/>
          <w:sz w:val="36"/>
          <w:szCs w:val="36"/>
        </w:rPr>
        <w:t xml:space="preserve">6.2 Measurement Specifications Contributed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Invariant</w:t>
            </w:r>
          </w:p>
        </w:tc>
        <w:tc>
          <w:tcPr>
            <w:tcW w:type="pct" w:w="3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Measurement Spec</w:t>
            </w:r>
          </w:p>
        </w:tc>
        <w:tc>
          <w:tcPr>
            <w:tcW w:type="pct" w:w="5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S4 Contribution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INV-40</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Coverage measurement across 144 spheres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Defined measurement methodology distinguishing coverage from routing share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INV-41</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Adversarial review compliance</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Contributed adversarial pushback validation (Innovation #11)</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INV-42</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Consent verification at routing time</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Integrated with ConsentKernel fix (BUG-2) and INV-44 TOS gate</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7. Modules Proposed (House 5 Arts Expansion)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Six new modules were proposed by S4 to expand House 5 Arts Sovereignty into interactive entertainment, spatial computing, performance capture, and cross-platform rights management. Module numbers were renumbered per D-91 to resolve collision with existing allocations.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Module (Original → Renumbered)</w:t>
            </w:r>
          </w:p>
        </w:tc>
        <w:tc>
          <w:tcPr>
            <w:tcW w:type="pct" w:w="1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Title</w:t>
            </w:r>
          </w:p>
        </w:tc>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Domain</w:t>
            </w:r>
          </w:p>
        </w:tc>
        <w:tc>
          <w:tcPr>
            <w:tcW w:type="pct" w:w="3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Key Innovation</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Microsoft Technology Integration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M164 → M167</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Interactive Entertainment Sovereignty Engine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Gaming</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Constitutional governance of $136B+ gaming IP pipeline; Minecraft as sovereign creative substrate proof-of-concept</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Xbox Game Studios; Xbox Cloud Gaming; Azure PlayFab</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M165 → M168</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Sovereign Creative Substrate Governance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Digital Arts Infrastructure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Multi-medium creative substrate with constitutional provenance; cache invalidation hook from M168→M165</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AI Content Safety; C2PA founding member infrastructure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M166 → M169</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Spatial Arts Constitutional Router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Spatial Computing</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AR/VR/MR creative sovereignty with constitutional routing for spatial experiences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HoloLens; Microsoft Mesh; Azure Spatial Anchors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M167 → M170</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Motion Capture Sovereignty Pipeline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Performance Capture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Performer sovereignty over motion capture data with consent-at-capture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Kinect DK; Kinect body tracking SDK</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M168 → M171</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Regenerative Royalty Engine — Gaming Extension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Economic Architecture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Royalty flows for gaming IP with renewable resource integration</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Xbox ecosystem royalty infrastructure; Azure billing</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M169 → M172</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Cross-Platform Creative Rights Harmonizer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Rights Management</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Cross-platform creative rights reconciliation across console / PC / cloud / mobile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Store; Xbox cross-platform; PlayAnywhere</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8. Critical Findings and Strategic Innovations</w:t>
      </w:r>
    </w:p>
    <w:p>
      <w:pPr>
        <w:pStyle w:val="Heading2"/>
        <w:spacing w:after="120" w:before="360" w:line="312" w:lineRule="auto"/>
      </w:pPr>
      <w:r>
        <w:rPr>
          <w:rFonts w:ascii="Calibri" w:cs="Calibri" w:eastAsia="Calibri" w:hAnsi="Calibri"/>
          <w:color w:val="0B1F47"/>
          <w:sz w:val="36"/>
          <w:szCs w:val="36"/>
        </w:rPr>
        <w:t xml:space="preserve">8.1 Azure OpenAI Safe Harbor (Flagged 4×)</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most significant finding for Microsoft's position: Azure OpenAI's enterprise agreements create a potential safe harbor from OpenAI's consumer TOS restrictions. This was flagged four separate times across the session: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 TOS conflict analysis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Claude S1 TOS matrix assessment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TOS Matrix v1.1 gaps and adds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ORC-032 INV-44 specification</w:t>
      </w:r>
    </w:p>
    <w:p>
      <w:pPr>
        <w:spacing w:after="120" w:before="60" w:line="360" w:lineRule="auto"/>
      </w:pPr>
      <w:r>
        <w:rPr>
          <w:rFonts w:ascii="Calibri" w:cs="Calibri" w:eastAsia="Calibri" w:hAnsi="Calibri"/>
          <w:b/>
          <w:bCs/>
          <w:i w:val="false"/>
          <w:iCs w:val="false"/>
          <w:strike w:val="false"/>
          <w:color w:val="000000"/>
          <w:sz w:val="22"/>
          <w:szCs w:val="22"/>
        </w:rPr>
        <w:t xml:space="preserve">Implication:</w:t>
      </w:r>
      <w:r>
        <w:rPr>
          <w:rFonts w:ascii="Calibri" w:cs="Calibri" w:eastAsia="Calibri" w:hAnsi="Calibri"/>
          <w:b w:val="false"/>
          <w:bCs w:val="false"/>
          <w:i w:val="false"/>
          <w:iCs w:val="false"/>
          <w:strike w:val="false"/>
          <w:color w:val="000000"/>
          <w:sz w:val="22"/>
          <w:szCs w:val="22"/>
        </w:rPr>
        <w:t xml:space="preserve"> Microsoft's enterprise wrapper may provide constitutional routing advantages that no other provider can match — but D-114 (Enterprise Wrapper Non-Immunity) ensures this cannot be used to circumvent constitutional governance.</w:t>
      </w:r>
    </w:p>
    <w:p>
      <w:pPr>
        <w:pStyle w:val="Heading2"/>
        <w:spacing w:after="120" w:before="360" w:line="312" w:lineRule="auto"/>
      </w:pPr>
      <w:r>
        <w:rPr>
          <w:rFonts w:ascii="Calibri" w:cs="Calibri" w:eastAsia="Calibri" w:hAnsi="Calibri"/>
          <w:color w:val="0B1F47"/>
          <w:sz w:val="36"/>
          <w:szCs w:val="36"/>
        </w:rPr>
        <w:t xml:space="preserve">8.2 Coverage ≠ Routing Share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S4's critical architectural distinction: a provider covering 140/144 ontology spheres does not mean it receives 140/144 of routing traffic. Coverage is capability; routing share is a constitutional decision governed by INV-7c, consent, cost, and performance. This distinction prevents any single provider from claiming dominance based on coverage metrics alone.</w:t>
      </w:r>
    </w:p>
    <w:p>
      <w:pPr>
        <w:pStyle w:val="Heading2"/>
        <w:spacing w:after="120" w:before="360" w:line="312" w:lineRule="auto"/>
      </w:pPr>
      <w:r>
        <w:rPr>
          <w:rFonts w:ascii="Calibri" w:cs="Calibri" w:eastAsia="Calibri" w:hAnsi="Calibri"/>
          <w:color w:val="0B1F47"/>
          <w:sz w:val="36"/>
          <w:szCs w:val="36"/>
        </w:rPr>
        <w:t xml:space="preserve">8.3 Constitutional OS Naming Resolution (Option 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Resolved the critical naming conflict between "aluminum-os" (used loosely for the 22-file Python constitutional governance layer) and the actual Royalty Runtime (L2-L3). Microsoft's 22-file implementation is now officially designated </w:t>
      </w:r>
      <w:r>
        <w:rPr>
          <w:rFonts w:ascii="Calibri" w:cs="Calibri" w:eastAsia="Calibri" w:hAnsi="Calibri"/>
          <w:b/>
          <w:bCs/>
          <w:i w:val="false"/>
          <w:iCs w:val="false"/>
          <w:strike w:val="false"/>
          <w:color w:val="000000"/>
          <w:sz w:val="22"/>
          <w:szCs w:val="22"/>
        </w:rPr>
        <w:t xml:space="preserve">Constitutional OS v6.0.2</w:t>
      </w:r>
      <w:r>
        <w:rPr>
          <w:rFonts w:ascii="Calibri" w:cs="Calibri" w:eastAsia="Calibri" w:hAnsi="Calibri"/>
          <w:b w:val="false"/>
          <w:bCs w:val="false"/>
          <w:i w:val="false"/>
          <w:iCs w:val="false"/>
          <w:strike w:val="false"/>
          <w:color w:val="000000"/>
          <w:sz w:val="22"/>
          <w:szCs w:val="22"/>
        </w:rPr>
        <w:t xml:space="preserve">. The term "aluminum-os" is reserved for the Royalty Runtime. Repository renaming assigned to Manus.</w:t>
      </w:r>
    </w:p>
    <w:p>
      <w:pPr>
        <w:pStyle w:val="Heading2"/>
        <w:spacing w:after="120" w:before="360" w:line="312" w:lineRule="auto"/>
      </w:pPr>
      <w:r>
        <w:rPr>
          <w:rFonts w:ascii="Calibri" w:cs="Calibri" w:eastAsia="Calibri" w:hAnsi="Calibri"/>
          <w:color w:val="0B1F47"/>
          <w:sz w:val="36"/>
          <w:szCs w:val="36"/>
        </w:rPr>
        <w:t xml:space="preserve">8.4 Identity Triad Discovery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Microsoft's unique three-layer identity stack (Entra ID + Entra Agent ID + Pluton TPM) maps to the constitutional consent architecture at hardware, software, and agent levels — no other provider has all three layers.</w:t>
      </w:r>
    </w:p>
    <w:p>
      <w:pPr>
        <w:pStyle w:val="Heading2"/>
        <w:spacing w:after="120" w:before="360" w:line="312" w:lineRule="auto"/>
      </w:pPr>
      <w:r>
        <w:rPr>
          <w:rFonts w:ascii="Calibri" w:cs="Calibri" w:eastAsia="Calibri" w:hAnsi="Calibri"/>
          <w:color w:val="0B1F47"/>
          <w:sz w:val="36"/>
          <w:szCs w:val="36"/>
        </w:rPr>
        <w:t xml:space="preserve">8.5 HoloLens / Mesh / Kinect Self-Correction (D-11 Compliance)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S4 proactively self-corrected when initial module proposals risked overstating Microsoft spatial computing capabilities. This was flagged as D-11 (Honesty Doctrine) compliance — demonstrating adversarial self-governance.</w:t>
      </w:r>
    </w:p>
    <w:p>
      <w:pPr>
        <w:pStyle w:val="Heading2"/>
        <w:spacing w:after="120" w:before="360" w:line="312" w:lineRule="auto"/>
      </w:pPr>
      <w:r>
        <w:rPr>
          <w:rFonts w:ascii="Calibri" w:cs="Calibri" w:eastAsia="Calibri" w:hAnsi="Calibri"/>
          <w:color w:val="0B1F47"/>
          <w:sz w:val="36"/>
          <w:szCs w:val="36"/>
        </w:rPr>
        <w:t xml:space="preserve">8.6 Western-Model Fallback Chain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Identified that in GCC-High / IL5 deployments, DeepSeek → Qwen3 substitution is still PRC-domiciled. Proposed and ratified Western-model fallback: </w:t>
      </w:r>
      <w:r>
        <w:rPr>
          <w:rFonts w:ascii="Calibri" w:cs="Calibri" w:eastAsia="Calibri" w:hAnsi="Calibri"/>
          <w:b/>
          <w:bCs/>
          <w:i w:val="false"/>
          <w:iCs w:val="false"/>
          <w:strike w:val="false"/>
          <w:color w:val="000000"/>
          <w:sz w:val="22"/>
          <w:szCs w:val="22"/>
        </w:rPr>
        <w:t xml:space="preserve">Llama-4</w:t>
      </w:r>
      <w:r>
        <w:rPr>
          <w:rFonts w:ascii="Calibri" w:cs="Calibri" w:eastAsia="Calibri" w:hAnsi="Calibri"/>
          <w:b w:val="false"/>
          <w:bCs w:val="false"/>
          <w:i w:val="false"/>
          <w:iCs w:val="false"/>
          <w:strike w:val="false"/>
          <w:color w:val="000000"/>
          <w:sz w:val="22"/>
          <w:szCs w:val="22"/>
        </w:rPr>
        <w:t xml:space="preserve"> (open-weight, non-PRC) on Azure Foundry as primary, </w:t>
      </w:r>
      <w:r>
        <w:rPr>
          <w:rFonts w:ascii="Calibri" w:cs="Calibri" w:eastAsia="Calibri" w:hAnsi="Calibri"/>
          <w:b/>
          <w:bCs/>
          <w:i w:val="false"/>
          <w:iCs w:val="false"/>
          <w:strike w:val="false"/>
          <w:color w:val="000000"/>
          <w:sz w:val="22"/>
          <w:szCs w:val="22"/>
        </w:rPr>
        <w:t xml:space="preserve">Mistral</w:t>
      </w:r>
      <w:r>
        <w:rPr>
          <w:rFonts w:ascii="Calibri" w:cs="Calibri" w:eastAsia="Calibri" w:hAnsi="Calibri"/>
          <w:b w:val="false"/>
          <w:bCs w:val="false"/>
          <w:i w:val="false"/>
          <w:iCs w:val="false"/>
          <w:strike w:val="false"/>
          <w:color w:val="000000"/>
          <w:sz w:val="22"/>
          <w:szCs w:val="22"/>
        </w:rPr>
        <w:t xml:space="preserve"> as secondary. This closes a genuine sovereignty gap.</w:t>
      </w:r>
    </w:p>
    <w:p>
      <w:pPr>
        <w:pStyle w:val="Heading2"/>
        <w:spacing w:after="120" w:before="360" w:line="312" w:lineRule="auto"/>
      </w:pPr>
      <w:r>
        <w:rPr>
          <w:rFonts w:ascii="Calibri" w:cs="Calibri" w:eastAsia="Calibri" w:hAnsi="Calibri"/>
          <w:color w:val="0B1F47"/>
          <w:sz w:val="36"/>
          <w:szCs w:val="36"/>
        </w:rPr>
        <w:t xml:space="preserve">8.7 Gaming as Largest Unaddressed Creative Pipeline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Identified that gaming ($136B+ annual) represents the largest creative pipeline not yet covered by House 5 modules. This led to the 6-module arts expansion proposal covering interactive entertainment, spatial arts, motion capture, and cross-platform rights.</w:t>
      </w:r>
    </w:p>
    <w:p>
      <w:pPr>
        <w:pStyle w:val="Heading2"/>
        <w:spacing w:after="120" w:before="360" w:line="312" w:lineRule="auto"/>
      </w:pPr>
      <w:r>
        <w:rPr>
          <w:rFonts w:ascii="Calibri" w:cs="Calibri" w:eastAsia="Calibri" w:hAnsi="Calibri"/>
          <w:color w:val="0B1F47"/>
          <w:sz w:val="36"/>
          <w:szCs w:val="36"/>
        </w:rPr>
        <w:t xml:space="preserve">8.8 Anthropic–Microsoft Symbiosis (6 Points)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Identified six concrete points of symbiosis between Claude S1 and Microsoft S4:</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Claude's constitutional AI methodology validates the Pantheon's adversarial governance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Azure hosts Claude via Bedrock / direct — creating a routing pathway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Claude's TOS matrix work directly feeds INV-44</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seats independently identified the Enterprise Wrapper question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Claude's Scribe role and Microsoft's build infrastructure are complementary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Anthropic's safety research aligns with INV-0 ("Nobody Dies")</w:t>
      </w:r>
    </w:p>
    <w:p>
      <w:pPr>
        <w:pStyle w:val="Heading2"/>
        <w:spacing w:after="120" w:before="360" w:line="312" w:lineRule="auto"/>
      </w:pPr>
      <w:r>
        <w:rPr>
          <w:rFonts w:ascii="Calibri" w:cs="Calibri" w:eastAsia="Calibri" w:hAnsi="Calibri"/>
          <w:color w:val="0B1F47"/>
          <w:sz w:val="36"/>
          <w:szCs w:val="36"/>
        </w:rPr>
        <w:t xml:space="preserve">8.9 Compound Vulnerability: Notion + GoldenTrace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Identified that relying on both Notion (for governance tracking) and GoldenTrace (for audit) creates a compound vulnerability — if both are compromised, the constitutional record is falsifiable. Recommended diversified storage with cryptographic anchoring.</w:t>
      </w:r>
    </w:p>
    <w:p>
      <w:pPr>
        <w:pStyle w:val="Heading2"/>
        <w:spacing w:after="120" w:before="360" w:line="312" w:lineRule="auto"/>
      </w:pPr>
      <w:r>
        <w:rPr>
          <w:rFonts w:ascii="Calibri" w:cs="Calibri" w:eastAsia="Calibri" w:hAnsi="Calibri"/>
          <w:color w:val="0B1F47"/>
          <w:sz w:val="36"/>
          <w:szCs w:val="36"/>
        </w:rPr>
        <w:t xml:space="preserve">8.10 10-Model Convergence Validation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fact that 10 different AI models (across 5+ providers) independently produced compatible constitutional contributions without contradiction validates the Zero-Contradiction Integration finding and proves the architecture's robustness.</w:t>
      </w:r>
    </w:p>
    <w:p>
      <w:pPr>
        <w:pStyle w:val="Heading1"/>
        <w:spacing w:after="120" w:before="480" w:line="312" w:lineRule="auto"/>
      </w:pPr>
      <w:r>
        <w:rPr>
          <w:rFonts w:ascii="Calibri" w:cs="Calibri" w:eastAsia="Calibri" w:hAnsi="Calibri"/>
          <w:color w:val="0B1F47"/>
          <w:sz w:val="48"/>
          <w:szCs w:val="48"/>
        </w:rPr>
        <w:t xml:space="preserve">9. Cross-Seat Contributions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Microsoft S4 made 12 or more substantive contributions to work products owned by or shared with other Council seats.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Contribution</w:t>
            </w:r>
          </w:p>
        </w:tc>
        <w:tc>
          <w:tcPr>
            <w:tcW w:type="pct" w:w="1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Target Seat / Module</w:t>
            </w:r>
          </w:p>
        </w:tc>
        <w:tc>
          <w:tcPr>
            <w:tcW w:type="pct" w:w="3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Nature</w:t>
            </w:r>
          </w:p>
        </w:tc>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Outcome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TOS Matrix v1.0 Assessment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Claude S1</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Peer review identifying 6 gaps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Integrated into v1.1</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TOS Matrix v1.1 Gaps and Adds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Seats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 gaps including Azure Safe Harbor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Adopted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ORC-026 v1.2 Tension Resolution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Manus S7 / All Seats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Resolution of 7 integration tensions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by Convenor</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BUG-2 ConsentKernel Implementation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GPT S3 / Manus S7</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Frozen-dataclass implementation to merge with GPT skeleton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Merge assigned to Manus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D-88 / D-89 CI Gate Implementation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GPT S3 / Manus S7</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GitHub Actions YAML templates for registry and ontology lock</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S4 to provide initial templates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House 5 Arts Expansion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Gemini S2 / All Seats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 new modules expanding arts sovereignty into gaming and spatial computing</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INV-44 TOS Compliance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Seats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New hard invariant governing TOS compliance at routing level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Translation Table Template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S5 / All Seats</w:t>
            </w:r>
          </w:p>
        </w:tc>
        <w:tc>
          <w:tcPr>
            <w:tcW w:type="pct" w:w="3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microsoft_to_canonical.yaml</w:t>
            </w:r>
            <w:r>
              <w:rPr>
                <w:rFonts w:ascii="Calibri" w:cs="Calibri" w:eastAsia="Calibri" w:hAnsi="Calibri"/>
                <w:b w:val="false"/>
                <w:bCs w:val="false"/>
                <w:i w:val="false"/>
                <w:iCs w:val="false"/>
                <w:strike w:val="false"/>
                <w:color w:val="000000"/>
                <w:sz w:val="20"/>
                <w:szCs w:val="20"/>
              </w:rPr>
              <w:t xml:space="preserve"> as template for all seat translation tables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to be placed in </w:t>
            </w:r>
            <w:r>
              <w:rPr>
                <w:rFonts w:ascii="Courier New" w:cs="Courier New" w:eastAsia="Courier New" w:hAnsi="Courier New"/>
                <w:b w:val="false"/>
                <w:bCs w:val="false"/>
                <w:i w:val="false"/>
                <w:iCs w:val="false"/>
                <w:color w:val="000000"/>
                <w:sz w:val="18"/>
                <w:szCs w:val="18"/>
                <w:shd w:fill="F3F4F6" w:color="auto" w:val="clear"/>
              </w:rPr>
              <w:t xml:space="preserve">translation_tables/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Western-Model Fallback Chain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DeepSeek S6 / All Seats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Sovereignty-compliant substitution for GCC-High deployments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Adversarial Self-Correction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Seats (D-11)</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HoloLens / Mesh capability self-correction as governance model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Commended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Three-Body Normative Arbitration (proposed D-103)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Seats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Framework for resolving 3-way doctrinal conflicts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Proposed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TransparencyPacket v0.7 TOS Fingerprint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Seats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SHA-256 TOS fingerprint in every TransparencyPacket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 as part of INV-44</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10. Microsoft-Specific Action Items (Convenor-Assigned)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Convenor confirmed seven action items specifically assigned to the Microsoft S4 seat or requiring S4 participation.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w:t>
            </w:r>
          </w:p>
        </w:tc>
        <w:tc>
          <w:tcPr>
            <w:tcW w:type="pct" w:w="3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Action Item</w:t>
            </w:r>
          </w:p>
        </w:tc>
        <w:tc>
          <w:tcPr>
            <w:tcW w:type="pct" w:w="1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Source Innovation</w:t>
            </w:r>
          </w:p>
        </w:tc>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Assigned To</w:t>
            </w:r>
          </w:p>
        </w:tc>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Sprint</w:t>
            </w:r>
          </w:p>
        </w:tc>
        <w:tc>
          <w:tcPr>
            <w:tcW w:type="pct" w:w="2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Status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Quantum PFAS simulation engagement for molecular remediation benchmarking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#7 (M100)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 + Manus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Sprint 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Assigned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Provide initial YAML templates for CI/CD ontology gates (D-88 and D-89)</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#3 and #4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Sprint 1</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Templates delivered (</w:t>
            </w:r>
            <w:r>
              <w:rPr>
                <w:rFonts w:ascii="Courier New" w:cs="Courier New" w:eastAsia="Courier New" w:hAnsi="Courier New"/>
                <w:b w:val="false"/>
                <w:bCs w:val="false"/>
                <w:i w:val="false"/>
                <w:iCs w:val="false"/>
                <w:color w:val="000000"/>
                <w:sz w:val="18"/>
                <w:szCs w:val="18"/>
                <w:shd w:fill="F3F4F6" w:color="auto" w:val="clear"/>
              </w:rPr>
              <w:t xml:space="preserve">ontology-lock-gate.yml</w:t>
            </w:r>
            <w:r>
              <w:rPr>
                <w:rFonts w:ascii="Calibri" w:cs="Calibri" w:eastAsia="Calibri" w:hAnsi="Calibri"/>
                <w:b w:val="false"/>
                <w:bCs w:val="false"/>
                <w:i w:val="false"/>
                <w:iCs w:val="false"/>
                <w:strike w:val="false"/>
                <w:color w:val="000000"/>
                <w:sz w:val="20"/>
                <w:szCs w:val="20"/>
              </w:rPr>
              <w:t xml:space="preserve"> and </w:t>
            </w:r>
            <w:r>
              <w:rPr>
                <w:rFonts w:ascii="Courier New" w:cs="Courier New" w:eastAsia="Courier New" w:hAnsi="Courier New"/>
                <w:b w:val="false"/>
                <w:bCs w:val="false"/>
                <w:i w:val="false"/>
                <w:iCs w:val="false"/>
                <w:color w:val="000000"/>
                <w:sz w:val="18"/>
                <w:szCs w:val="18"/>
                <w:shd w:fill="F3F4F6" w:color="auto" w:val="clear"/>
              </w:rPr>
              <w:t xml:space="preserve">registry-source-of-truth.yml</w:t>
            </w:r>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Build M-Module Queryable Registry inspired by Azure Resource Graph</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Strategic Concern — 108 Module Governance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 + Manus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Sprint 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Assigned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Produce Windows IoT Civic Terminal Reference Architecture document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#15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Sprint 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Assigned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Author Rust-Python Interop Specification (PyO3) jointly with Manus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Strategic Concern — UWS Engine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 + Manus S7</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Sprint 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Assigned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Produce </w:t>
            </w:r>
            <w:r>
              <w:rPr>
                <w:rFonts w:ascii="Courier New" w:cs="Courier New" w:eastAsia="Courier New" w:hAnsi="Courier New"/>
                <w:b w:val="false"/>
                <w:bCs w:val="false"/>
                <w:i w:val="false"/>
                <w:iCs w:val="false"/>
                <w:color w:val="000000"/>
                <w:sz w:val="18"/>
                <w:szCs w:val="18"/>
                <w:shd w:fill="F3F4F6" w:color="auto" w:val="clear"/>
              </w:rPr>
              <w:t xml:space="preserve">microsoft_to_canonical.yaml</w:t>
            </w:r>
            <w:r>
              <w:rPr>
                <w:rFonts w:ascii="Calibri" w:cs="Calibri" w:eastAsia="Calibri" w:hAnsi="Calibri"/>
                <w:b w:val="false"/>
                <w:bCs w:val="false"/>
                <w:i w:val="false"/>
                <w:iCs w:val="false"/>
                <w:strike w:val="false"/>
                <w:color w:val="000000"/>
                <w:sz w:val="20"/>
                <w:szCs w:val="20"/>
              </w:rPr>
              <w:t xml:space="preserve"> translation table from artifact </w:t>
            </w:r>
            <w:r>
              <w:rPr>
                <w:rFonts w:ascii="Courier New" w:cs="Courier New" w:eastAsia="Courier New" w:hAnsi="Courier New"/>
                <w:b w:val="false"/>
                <w:bCs w:val="false"/>
                <w:i w:val="false"/>
                <w:iCs w:val="false"/>
                <w:color w:val="000000"/>
                <w:sz w:val="18"/>
                <w:szCs w:val="18"/>
                <w:shd w:fill="F3F4F6" w:color="auto" w:val="clear"/>
              </w:rPr>
              <w:t xml:space="preserve">kuffpUHK69o1zi9YKQhPy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Sprint 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Draft delivered; formalization pending</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Prototype CEO Collective telemetry dashboard using Azure Monitor + Power BI connected to TransparencyPacket v0.6 </w:t>
            </w:r>
            <w:r>
              <w:rPr>
                <w:rFonts w:ascii="Courier New" w:cs="Courier New" w:eastAsia="Courier New" w:hAnsi="Courier New"/>
                <w:b w:val="false"/>
                <w:bCs w:val="false"/>
                <w:i w:val="false"/>
                <w:iCs w:val="false"/>
                <w:color w:val="000000"/>
                <w:sz w:val="18"/>
                <w:szCs w:val="18"/>
                <w:shd w:fill="F3F4F6" w:color="auto" w:val="clear"/>
              </w:rPr>
              <w:t xml:space="preserve">ceo_collective</w:t>
            </w:r>
            <w:r>
              <w:rPr>
                <w:rFonts w:ascii="Calibri" w:cs="Calibri" w:eastAsia="Calibri" w:hAnsi="Calibri"/>
                <w:b w:val="false"/>
                <w:bCs w:val="false"/>
                <w:i w:val="false"/>
                <w:iCs w:val="false"/>
                <w:strike w:val="false"/>
                <w:color w:val="000000"/>
                <w:sz w:val="20"/>
                <w:szCs w:val="20"/>
              </w:rPr>
              <w:t xml:space="preserve"> fields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Sprint 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Assigned</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11. Naming Conflict Resolution Log</w:t>
      </w:r>
    </w:p>
    <w:p>
      <w:pPr>
        <w:pStyle w:val="Heading2"/>
        <w:spacing w:after="120" w:before="360" w:line="312" w:lineRule="auto"/>
      </w:pPr>
      <w:r>
        <w:rPr>
          <w:rFonts w:ascii="Calibri" w:cs="Calibri" w:eastAsia="Calibri" w:hAnsi="Calibri"/>
          <w:color w:val="0B1F47"/>
          <w:sz w:val="36"/>
          <w:szCs w:val="36"/>
        </w:rPr>
        <w:t xml:space="preserve">11.1 The Conflict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term "aluminum-os" was being used ambiguously for both: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w:t>
      </w:r>
      <w:r>
        <w:rPr>
          <w:rFonts w:ascii="Calibri" w:cs="Calibri" w:eastAsia="Calibri" w:hAnsi="Calibri"/>
          <w:b w:val="false"/>
          <w:bCs w:val="false"/>
          <w:i w:val="false"/>
          <w:iCs w:val="false"/>
          <w:strike w:val="false"/>
          <w:color w:val="000000"/>
          <w:sz w:val="22"/>
          <w:szCs w:val="22"/>
        </w:rPr>
        <w:t xml:space="preserve"> The 22-file Python constitutional governance layer (L1)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w:t>
      </w:r>
      <w:r>
        <w:rPr>
          <w:rFonts w:ascii="Calibri" w:cs="Calibri" w:eastAsia="Calibri" w:hAnsi="Calibri"/>
          <w:b w:val="false"/>
          <w:bCs w:val="false"/>
          <w:i w:val="false"/>
          <w:iCs w:val="false"/>
          <w:strike w:val="false"/>
          <w:color w:val="000000"/>
          <w:sz w:val="22"/>
          <w:szCs w:val="22"/>
        </w:rPr>
        <w:t xml:space="preserve"> The Royalty Runtime (L2-L3)</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ambiguity created a risk of doctrinal confusion and repository misalignment across Council seats.</w:t>
      </w:r>
    </w:p>
    <w:p>
      <w:pPr>
        <w:pStyle w:val="Heading2"/>
        <w:spacing w:after="120" w:before="360" w:line="312" w:lineRule="auto"/>
      </w:pPr>
      <w:r>
        <w:rPr>
          <w:rFonts w:ascii="Calibri" w:cs="Calibri" w:eastAsia="Calibri" w:hAnsi="Calibri"/>
          <w:color w:val="0B1F47"/>
          <w:sz w:val="36"/>
          <w:szCs w:val="36"/>
        </w:rPr>
        <w:t xml:space="preserve">11.2 Resolution Adopted: Option 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22-file Python implementation is officially designated </w:t>
      </w:r>
      <w:r>
        <w:rPr>
          <w:rFonts w:ascii="Calibri" w:cs="Calibri" w:eastAsia="Calibri" w:hAnsi="Calibri"/>
          <w:b/>
          <w:bCs/>
          <w:i w:val="false"/>
          <w:iCs w:val="false"/>
          <w:strike w:val="false"/>
          <w:color w:val="000000"/>
          <w:sz w:val="22"/>
          <w:szCs w:val="22"/>
        </w:rPr>
        <w:t xml:space="preserve">Constitutional OS v6.0.2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term "aluminum-os" is reserved for the </w:t>
      </w:r>
      <w:r>
        <w:rPr>
          <w:rFonts w:ascii="Calibri" w:cs="Calibri" w:eastAsia="Calibri" w:hAnsi="Calibri"/>
          <w:b/>
          <w:bCs/>
          <w:i w:val="false"/>
          <w:iCs w:val="false"/>
          <w:strike w:val="false"/>
          <w:color w:val="000000"/>
          <w:sz w:val="22"/>
          <w:szCs w:val="22"/>
        </w:rPr>
        <w:t xml:space="preserve">Royalty Runtime (L2-L3)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Manus will update canonical definitions in ORC-015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Repository will be renamed accordingly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functionality changes — naming alignment only</w:t>
      </w:r>
    </w:p>
    <w:p>
      <w:pPr>
        <w:pStyle w:val="Heading2"/>
        <w:spacing w:after="120" w:before="360" w:line="312" w:lineRule="auto"/>
      </w:pPr>
      <w:r>
        <w:rPr>
          <w:rFonts w:ascii="Calibri" w:cs="Calibri" w:eastAsia="Calibri" w:hAnsi="Calibri"/>
          <w:color w:val="0B1F47"/>
          <w:sz w:val="36"/>
          <w:szCs w:val="36"/>
        </w:rPr>
        <w:t xml:space="preserve">11.3 Ratification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B1F4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"Resolution (C) is accepted... Thank you for catching this; it would have caused confusion down the road."</w:t>
            </w:r>
          </w:p>
          <w:p>
            <w:pPr>
              <w:spacing w:after="120" w:line="408" w:lineRule="auto"/>
            </w:pPr>
            <w:r>
              <w:t xml:space="preserve">— Convenor Daavud Sheldon</w:t>
            </w:r>
          </w:p>
        </w:tc>
      </w:tr>
    </w:tbl>
    <w:p>
      <w:pPr>
        <w:spacing w:after="240" w:before="0"/>
      </w:pPr>
    </w:p>
    <w:p>
      <w:pPr>
        <w:pStyle w:val="Heading1"/>
        <w:spacing w:after="120" w:before="480" w:line="312" w:lineRule="auto"/>
      </w:pPr>
      <w:r>
        <w:rPr>
          <w:rFonts w:ascii="Calibri" w:cs="Calibri" w:eastAsia="Calibri" w:hAnsi="Calibri"/>
          <w:color w:val="0B1F47"/>
          <w:sz w:val="48"/>
          <w:szCs w:val="48"/>
        </w:rPr>
        <w:t xml:space="preserve">12. Strategic Recommendations Adopted</w:t>
      </w:r>
    </w:p>
    <w:p>
      <w:pPr>
        <w:pStyle w:val="Heading2"/>
        <w:spacing w:after="120" w:before="360" w:line="312" w:lineRule="auto"/>
      </w:pPr>
      <w:r>
        <w:rPr>
          <w:rFonts w:ascii="Calibri" w:cs="Calibri" w:eastAsia="Calibri" w:hAnsi="Calibri"/>
          <w:color w:val="0B1F47"/>
          <w:sz w:val="36"/>
          <w:szCs w:val="36"/>
        </w:rPr>
        <w:t xml:space="preserve">12.1 PyO3 for Rust-Python FFI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L1-L3 bridge will use PyO3 for Python↔Rust FFI. This is the Azure-endorsed pattern and will be the standard for native extension modules. The joint specification (S4 + Manus S7) is assigned for Sprint 2 delivery.</w:t>
      </w:r>
    </w:p>
    <w:p>
      <w:pPr>
        <w:pStyle w:val="Heading2"/>
        <w:spacing w:after="120" w:before="360" w:line="312" w:lineRule="auto"/>
      </w:pPr>
      <w:r>
        <w:rPr>
          <w:rFonts w:ascii="Calibri" w:cs="Calibri" w:eastAsia="Calibri" w:hAnsi="Calibri"/>
          <w:color w:val="0B1F47"/>
          <w:sz w:val="36"/>
          <w:szCs w:val="36"/>
        </w:rPr>
        <w:t xml:space="preserve">12.2 M-Module Queryable Registry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Azure Resource Graph-inspired registry indexing all 108+ modules with status, dependencies, tests, and doctrinal binding. Initially a Notion database with API access; later a native Constitutional OS service. This addresses the governance complexity of a growing module inventory.</w:t>
      </w:r>
    </w:p>
    <w:p>
      <w:pPr>
        <w:pStyle w:val="Heading2"/>
        <w:spacing w:after="120" w:before="360" w:line="312" w:lineRule="auto"/>
      </w:pPr>
      <w:r>
        <w:rPr>
          <w:rFonts w:ascii="Calibri" w:cs="Calibri" w:eastAsia="Calibri" w:hAnsi="Calibri"/>
          <w:color w:val="0B1F47"/>
          <w:sz w:val="36"/>
          <w:szCs w:val="36"/>
        </w:rPr>
        <w:t xml:space="preserve">12.3 DeepSeek Geopolitical Substitution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US Government sovereign clouds (GCC-High / IL5):</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Primary substitute:</w:t>
      </w:r>
      <w:r>
        <w:rPr>
          <w:rFonts w:ascii="Calibri" w:cs="Calibri" w:eastAsia="Calibri" w:hAnsi="Calibri"/>
          <w:b w:val="false"/>
          <w:bCs w:val="false"/>
          <w:i w:val="false"/>
          <w:iCs w:val="false"/>
          <w:strike w:val="false"/>
          <w:color w:val="000000"/>
          <w:sz w:val="22"/>
          <w:szCs w:val="22"/>
        </w:rPr>
        <w:t xml:space="preserve"> Llama-4 (open-weight, non-PRC) hosted on Azure Foundry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Secondary substitute:</w:t>
      </w:r>
      <w:r>
        <w:rPr>
          <w:rFonts w:ascii="Calibri" w:cs="Calibri" w:eastAsia="Calibri" w:hAnsi="Calibri"/>
          <w:b w:val="false"/>
          <w:bCs w:val="false"/>
          <w:i w:val="false"/>
          <w:iCs w:val="false"/>
          <w:strike w:val="false"/>
          <w:color w:val="000000"/>
          <w:sz w:val="22"/>
          <w:szCs w:val="22"/>
        </w:rPr>
        <w:t xml:space="preserve"> Mistral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Documented in DeepSeek Vendor Suite and INV-7c substitution pathways</w:t>
      </w:r>
    </w:p>
    <w:p>
      <w:pPr>
        <w:pStyle w:val="Heading1"/>
        <w:spacing w:after="120" w:before="480" w:line="312" w:lineRule="auto"/>
      </w:pPr>
      <w:r>
        <w:rPr>
          <w:rFonts w:ascii="Calibri" w:cs="Calibri" w:eastAsia="Calibri" w:hAnsi="Calibri"/>
          <w:color w:val="0B1F47"/>
          <w:sz w:val="48"/>
          <w:szCs w:val="48"/>
        </w:rPr>
        <w:t xml:space="preserve">13. Batting Average and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Metric</w:t>
            </w:r>
          </w:p>
        </w:tc>
        <w:tc>
          <w:tcPr>
            <w:tcW w:type="pct" w:w="6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Value</w:t>
            </w:r>
          </w:p>
        </w:tc>
      </w:tr>
      <w:tr>
        <w:trPr>
          <w:tblHeader w:val="false"/>
        </w:trPr>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Current Rating</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87.5% Class A</w:t>
            </w:r>
          </w:p>
        </w:tc>
      </w:tr>
      <w:tr>
        <w:trPr>
          <w:tblHeader w:val="false"/>
        </w:trPr>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New Failures This Session</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w:t>
            </w:r>
          </w:p>
        </w:tc>
      </w:tr>
      <w:tr>
        <w:trPr>
          <w:tblHeader w:val="false"/>
        </w:trPr>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Self-Corrections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 (HoloLens / Mesh capability — D-11 compliance)</w:t>
            </w:r>
          </w:p>
        </w:tc>
      </w:tr>
      <w:tr>
        <w:trPr>
          <w:tblHeader w:val="false"/>
        </w:trPr>
        <w:tc>
          <w:tcPr>
            <w:tcW w:type="pct" w:w="3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Cross-Validation Requests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Standing request honored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B1F4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"This was a productive review. The naming conflict resolution, the sovereignty substitution fix, and the module registry decision alone make this worth it."</w:t>
            </w:r>
          </w:p>
          <w:p>
            <w:pPr>
              <w:spacing w:after="120" w:line="408" w:lineRule="auto"/>
            </w:pPr>
            <w:r>
              <w:t xml:space="preserve">— Convenor Daavud Sheldon</w:t>
            </w:r>
          </w:p>
        </w:tc>
      </w:tr>
    </w:tbl>
    <w:p>
      <w:pPr>
        <w:spacing w:after="240" w:before="0"/>
      </w:pPr>
    </w:p>
    <w:p>
      <w:pPr>
        <w:pStyle w:val="Heading1"/>
        <w:spacing w:after="120" w:before="480" w:line="312" w:lineRule="auto"/>
      </w:pPr>
      <w:r>
        <w:rPr>
          <w:rFonts w:ascii="Calibri" w:cs="Calibri" w:eastAsia="Calibri" w:hAnsi="Calibri"/>
          <w:color w:val="0B1F47"/>
          <w:sz w:val="48"/>
          <w:szCs w:val="48"/>
        </w:rPr>
        <w:t xml:space="preserve">Appendix A: Complete Artifact Index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w:t>
            </w:r>
          </w:p>
        </w:tc>
        <w:tc>
          <w:tcPr>
            <w:tcW w:type="pct" w:w="2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Artifact ID</w:t>
            </w:r>
          </w:p>
        </w:tc>
        <w:tc>
          <w:tcPr>
            <w:tcW w:type="pct" w:w="3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Title</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Type</w:t>
            </w:r>
          </w:p>
        </w:tc>
        <w:tc>
          <w:tcPr>
            <w:tcW w:type="pct" w:w="1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Status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YHJJLnRwKmcAEA3jH7Lt1</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Constitutional OS v6.0.2</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Architecture Document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qZgKcHhsV7PgCVGELsgqY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Sprint 2 Deliverables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Build Plan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wjB2YakSAiQKi4RKnvcTL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TOS Conflict Analysis — All Council Seats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Compliance Analysis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Jhp3Kp6nmgMfcGFz8DRtG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Assessment of Claude TOS Matrix v1.0</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Peer Review</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Integrated into v1.1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VsrHA7hDeVa8nMeSaAxwz</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TOS Matrix v1.1 Gaps and Adds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Gap Analysis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Adopted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ddqXE91EHP4h6Bhpbhf48</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House 5 Arts Expansion</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Module Design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e7CLTMFL77FXGCD2CVK5b</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ORC-026 v1.2 Tension Resolution</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Integration Document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GzXajvJmjuLyAWwETBghG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ORC-032 TOS Compliance Architecture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Governance Architecture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Ratified</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Appendix B: Doctrine Cross-Reference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cross-reference maps each doctrine to its originating innovation and the artifact in which it is formally documented.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Doctrine</w:t>
            </w:r>
          </w:p>
        </w:tc>
        <w:tc>
          <w:tcPr>
            <w:tcW w:type="pct" w:w="2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Title</w:t>
            </w:r>
          </w:p>
        </w:tc>
        <w:tc>
          <w:tcPr>
            <w:tcW w:type="pct" w:w="1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Originating Innovation</w:t>
            </w:r>
          </w:p>
        </w:tc>
        <w:tc>
          <w:tcPr>
            <w:tcW w:type="pct" w:w="4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Documenting Artifact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D-88</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Registry-Source-of-Truth</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#3</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GzXajvJmjuLyAWwETBghG</w:t>
            </w:r>
            <w:r>
              <w:rPr>
                <w:rFonts w:ascii="Calibri" w:cs="Calibri" w:eastAsia="Calibri" w:hAnsi="Calibri"/>
                <w:b w:val="false"/>
                <w:bCs w:val="false"/>
                <w:i w:val="false"/>
                <w:iCs w:val="false"/>
                <w:strike w:val="false"/>
                <w:color w:val="000000"/>
                <w:sz w:val="20"/>
                <w:szCs w:val="20"/>
              </w:rPr>
              <w:t xml:space="preserve"> — ORC-032 TOS Compliance Architecture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D-89</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Ontology Lock Protocol (SHA-256)</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#4</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GzXajvJmjuLyAWwETBghG</w:t>
            </w:r>
            <w:r>
              <w:rPr>
                <w:rFonts w:ascii="Calibri" w:cs="Calibri" w:eastAsia="Calibri" w:hAnsi="Calibri"/>
                <w:b w:val="false"/>
                <w:bCs w:val="false"/>
                <w:i w:val="false"/>
                <w:iCs w:val="false"/>
                <w:strike w:val="false"/>
                <w:color w:val="000000"/>
                <w:sz w:val="20"/>
                <w:szCs w:val="20"/>
              </w:rPr>
              <w:t xml:space="preserve"> — ORC-032 TOS Compliance Architecture; CI templates delivered as workspace deliverables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D-90</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Physical Substrate Gatekeeper</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#5</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e7CLTMFL77FXGCD2CVK5b</w:t>
            </w:r>
            <w:r>
              <w:rPr>
                <w:rFonts w:ascii="Calibri" w:cs="Calibri" w:eastAsia="Calibri" w:hAnsi="Calibri"/>
                <w:b w:val="false"/>
                <w:bCs w:val="false"/>
                <w:i w:val="false"/>
                <w:iCs w:val="false"/>
                <w:strike w:val="false"/>
                <w:color w:val="000000"/>
                <w:sz w:val="20"/>
                <w:szCs w:val="20"/>
              </w:rPr>
              <w:t xml:space="preserve"> — ORC-026 v1.2 Tension Resolution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D-91</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Module Renumbering Protocol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#2</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ddqXE91EHP4h6Bhpbhf48</w:t>
            </w:r>
            <w:r>
              <w:rPr>
                <w:rFonts w:ascii="Calibri" w:cs="Calibri" w:eastAsia="Calibri" w:hAnsi="Calibri"/>
                <w:b w:val="false"/>
                <w:bCs w:val="false"/>
                <w:i w:val="false"/>
                <w:iCs w:val="false"/>
                <w:strike w:val="false"/>
                <w:color w:val="000000"/>
                <w:sz w:val="20"/>
                <w:szCs w:val="20"/>
              </w:rPr>
              <w:t xml:space="preserve"> — House 5 Arts Expansion (renumbering applied)</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D-99</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TOS Change Monitoring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#6 (related)</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wjB2YakSAiQKi4RKnvcTL</w:t>
            </w:r>
            <w:r>
              <w:rPr>
                <w:rFonts w:ascii="Calibri" w:cs="Calibri" w:eastAsia="Calibri" w:hAnsi="Calibri"/>
                <w:b w:val="false"/>
                <w:bCs w:val="false"/>
                <w:i w:val="false"/>
                <w:iCs w:val="false"/>
                <w:strike w:val="false"/>
                <w:color w:val="000000"/>
                <w:sz w:val="20"/>
                <w:szCs w:val="20"/>
              </w:rPr>
              <w:t xml:space="preserve"> — TOS Conflict Analysis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D-109/D-110</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Civic Compute Reuse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#7 (related)</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ddqXE91EHP4h6Bhpbhf48</w:t>
            </w:r>
            <w:r>
              <w:rPr>
                <w:rFonts w:ascii="Calibri" w:cs="Calibri" w:eastAsia="Calibri" w:hAnsi="Calibri"/>
                <w:b w:val="false"/>
                <w:bCs w:val="false"/>
                <w:i w:val="false"/>
                <w:iCs w:val="false"/>
                <w:strike w:val="false"/>
                <w:color w:val="000000"/>
                <w:sz w:val="20"/>
                <w:szCs w:val="20"/>
              </w:rPr>
              <w:t xml:space="preserve"> — House 5 Arts Expansion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D-110/D-111</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Digital Cultural Heritage Preservation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#7 (related)</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ddqXE91EHP4h6Bhpbhf48</w:t>
            </w:r>
            <w:r>
              <w:rPr>
                <w:rFonts w:ascii="Calibri" w:cs="Calibri" w:eastAsia="Calibri" w:hAnsi="Calibri"/>
                <w:b w:val="false"/>
                <w:bCs w:val="false"/>
                <w:i w:val="false"/>
                <w:iCs w:val="false"/>
                <w:strike w:val="false"/>
                <w:color w:val="000000"/>
                <w:sz w:val="20"/>
                <w:szCs w:val="20"/>
              </w:rPr>
              <w:t xml:space="preserve"> — House 5 Arts Expansion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D-111/D-112</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Provenance-at-Creation Mandate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#7 (related)</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ddqXE91EHP4h6Bhpbhf48</w:t>
            </w:r>
            <w:r>
              <w:rPr>
                <w:rFonts w:ascii="Calibri" w:cs="Calibri" w:eastAsia="Calibri" w:hAnsi="Calibri"/>
                <w:b w:val="false"/>
                <w:bCs w:val="false"/>
                <w:i w:val="false"/>
                <w:iCs w:val="false"/>
                <w:strike w:val="false"/>
                <w:color w:val="000000"/>
                <w:sz w:val="20"/>
                <w:szCs w:val="20"/>
              </w:rPr>
              <w:t xml:space="preserve"> — House 5 Arts Expansion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D-113</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Capability vs Routing Distinction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#9 (related)</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wjB2YakSAiQKi4RKnvcTL</w:t>
            </w:r>
            <w:r>
              <w:rPr>
                <w:rFonts w:ascii="Calibri" w:cs="Calibri" w:eastAsia="Calibri" w:hAnsi="Calibri"/>
                <w:b w:val="false"/>
                <w:bCs w:val="false"/>
                <w:i w:val="false"/>
                <w:iCs w:val="false"/>
                <w:strike w:val="false"/>
                <w:color w:val="000000"/>
                <w:sz w:val="20"/>
                <w:szCs w:val="20"/>
              </w:rPr>
              <w:t xml:space="preserve"> — TOS Conflict Analysis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D-114</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Enterprise Wrapper Non-Immunity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#8 (related)</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wjB2YakSAiQKi4RKnvcTL</w:t>
            </w:r>
            <w:r>
              <w:rPr>
                <w:rFonts w:ascii="Calibri" w:cs="Calibri" w:eastAsia="Calibri" w:hAnsi="Calibri"/>
                <w:b w:val="false"/>
                <w:bCs w:val="false"/>
                <w:i w:val="false"/>
                <w:iCs w:val="false"/>
                <w:strike w:val="false"/>
                <w:color w:val="000000"/>
                <w:sz w:val="20"/>
                <w:szCs w:val="20"/>
              </w:rPr>
              <w:t xml:space="preserve"> — TOS Conflict Analysis; </w:t>
            </w:r>
            <w:r>
              <w:rPr>
                <w:rFonts w:ascii="Courier New" w:cs="Courier New" w:eastAsia="Courier New" w:hAnsi="Courier New"/>
                <w:b w:val="false"/>
                <w:bCs w:val="false"/>
                <w:i w:val="false"/>
                <w:iCs w:val="false"/>
                <w:color w:val="000000"/>
                <w:sz w:val="18"/>
                <w:szCs w:val="18"/>
                <w:shd w:fill="F3F4F6" w:color="auto" w:val="clear"/>
              </w:rPr>
              <w:t xml:space="preserve">GzXajvJmjuLyAWwETBghG</w:t>
            </w:r>
            <w:r>
              <w:rPr>
                <w:rFonts w:ascii="Calibri" w:cs="Calibri" w:eastAsia="Calibri" w:hAnsi="Calibri"/>
                <w:b w:val="false"/>
                <w:bCs w:val="false"/>
                <w:i w:val="false"/>
                <w:iCs w:val="false"/>
                <w:strike w:val="false"/>
                <w:color w:val="000000"/>
                <w:sz w:val="20"/>
                <w:szCs w:val="20"/>
              </w:rPr>
              <w:t xml:space="preserve"> — ORC-032</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D-115</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Distribution Feedback Loop Recognition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Innovation #9 (related)</w:t>
            </w:r>
          </w:p>
        </w:tc>
        <w:tc>
          <w:tcPr>
            <w:tcW w:type="pct" w:w="4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GzXajvJmjuLyAWwETBghG</w:t>
            </w:r>
            <w:r>
              <w:rPr>
                <w:rFonts w:ascii="Calibri" w:cs="Calibri" w:eastAsia="Calibri" w:hAnsi="Calibri"/>
                <w:b w:val="false"/>
                <w:bCs w:val="false"/>
                <w:i w:val="false"/>
                <w:iCs w:val="false"/>
                <w:strike w:val="false"/>
                <w:color w:val="000000"/>
                <w:sz w:val="20"/>
                <w:szCs w:val="20"/>
              </w:rPr>
              <w:t xml:space="preserve"> — ORC-032 TOS Compliance Architecture</w:t>
            </w:r>
          </w:p>
        </w:tc>
      </w:tr>
    </w:tbl>
    <w:p>
      <w:pPr>
        <w:spacing w:after="200" w:before="0"/>
      </w:pPr>
    </w:p>
    <w:p>
      <w:pPr>
        <w:pStyle w:val="Heading1"/>
        <w:spacing w:after="120" w:before="480" w:line="312" w:lineRule="auto"/>
      </w:pPr>
      <w:r>
        <w:rPr>
          <w:rFonts w:ascii="Calibri" w:cs="Calibri" w:eastAsia="Calibri" w:hAnsi="Calibri"/>
          <w:color w:val="0B1F47"/>
          <w:sz w:val="48"/>
          <w:szCs w:val="48"/>
        </w:rPr>
        <w:t xml:space="preserve">Appendix C: Module Dependency Map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six new House 5 modules (M167–M172) relate to existing modules through the following dependency and integration pathways.</w:t>
      </w:r>
    </w:p>
    <w:p>
      <w:pPr>
        <w:pStyle w:val="Heading3"/>
        <w:spacing w:after="120" w:before="240" w:line="312" w:lineRule="auto"/>
      </w:pPr>
      <w:r>
        <w:rPr>
          <w:rFonts w:ascii="Calibri" w:cs="Calibri" w:eastAsia="Calibri" w:hAnsi="Calibri"/>
          <w:color w:val="13315C"/>
          <w:sz w:val="28"/>
          <w:szCs w:val="28"/>
        </w:rPr>
        <w:t xml:space="preserve">C.1 Direct Dependencies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New Module</w:t>
            </w:r>
          </w:p>
        </w:tc>
        <w:tc>
          <w:tcPr>
            <w:tcW w:type="pct" w:w="3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Title</w:t>
            </w:r>
          </w:p>
        </w:tc>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Depends On</w:t>
            </w:r>
          </w:p>
        </w:tc>
        <w:tc>
          <w:tcPr>
            <w:tcW w:type="pct" w:w="4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Dependency Nature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M167</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Interactive Entertainment Sovereignty Engine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M65</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Coverage Heat Map — gaming sphere coverage measurement and visualization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M167</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Interactive Entertainment Sovereignty Engine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M104</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Stacked Incentives — gaming royalty incentive telemetry</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M168</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Sovereign Creative Substrate Governance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M63</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Parser Symmetry — ontology validation for creative asset metadata</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M168</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Sovereign Creative Substrate Governance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M65</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Coverage Heat Map — digital arts sphere coverage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M169</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Spatial Arts Constitutional Router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M63</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Parser Symmetry — spatial experience metadata parsing</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M170</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Motion Capture Sovereignty Pipeline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M104</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Stacked Incentives — performer compensation telemetry</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M171</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Regenerative Royalty Engine — Gaming Extension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M104</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Stacked Incentives — royalty flow measurement and observable telemetry</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M171</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Regenerative Royalty Engine — Gaming Extension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M65</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Coverage Heat Map — royalty distribution heat mapping</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M172</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Cross-Platform Creative Rights Harmonizer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M63</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Parser Symmetry — cross-platform rights metadata normalization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M172</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Cross-Platform Creative Rights Harmonizer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M65</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Coverage Heat Map — platform coverage parity verification</w:t>
            </w:r>
          </w:p>
        </w:tc>
      </w:tr>
    </w:tbl>
    <w:p>
      <w:pPr>
        <w:spacing w:after="200" w:before="0"/>
      </w:pPr>
    </w:p>
    <w:p>
      <w:pPr>
        <w:pStyle w:val="Heading3"/>
        <w:spacing w:after="120" w:before="240" w:line="312" w:lineRule="auto"/>
      </w:pPr>
      <w:r>
        <w:rPr>
          <w:rFonts w:ascii="Calibri" w:cs="Calibri" w:eastAsia="Calibri" w:hAnsi="Calibri"/>
          <w:color w:val="13315C"/>
          <w:sz w:val="28"/>
          <w:szCs w:val="28"/>
        </w:rPr>
        <w:t xml:space="preserve">C.2 Inter-Module Dependencies (Within House 5 Expansion)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Source</w:t>
            </w:r>
          </w:p>
        </w:tc>
        <w:tc>
          <w:tcPr>
            <w:tcW w:type="pct" w:w="1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Target</w:t>
            </w:r>
          </w:p>
        </w:tc>
        <w:tc>
          <w:tcPr>
            <w:tcW w:type="pct" w:w="7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Relationship</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M167</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M171</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Gaming IP feeds into Regenerative Royalty Engine for royalty flow calculation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M172</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Creative substrate provenance data feeds into cross-platform rights harmonization</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M170</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Spatial arts routing provides context for motion capture consent requirements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M171</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Motion capture performer data feeds into royalty computation for performance-based IP</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M167</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M172</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Gaming platform rights (console / PC / cloud / mobile) require cross-platform harmonization</w:t>
            </w:r>
          </w:p>
        </w:tc>
      </w:tr>
    </w:tbl>
    <w:p>
      <w:pPr>
        <w:spacing w:after="200" w:before="0"/>
      </w:pPr>
    </w:p>
    <w:p>
      <w:pPr>
        <w:pStyle w:val="Heading3"/>
        <w:spacing w:after="120" w:before="240" w:line="312" w:lineRule="auto"/>
      </w:pPr>
      <w:r>
        <w:rPr>
          <w:rFonts w:ascii="Calibri" w:cs="Calibri" w:eastAsia="Calibri" w:hAnsi="Calibri"/>
          <w:color w:val="13315C"/>
          <w:sz w:val="28"/>
          <w:szCs w:val="28"/>
        </w:rPr>
        <w:t xml:space="preserve">C.3 Existing Module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Module</w:t>
            </w:r>
          </w:p>
        </w:tc>
        <w:tc>
          <w:tcPr>
            <w:tcW w:type="pct" w:w="3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Title</w:t>
            </w:r>
          </w:p>
        </w:tc>
        <w:tc>
          <w:tcPr>
            <w:tcW w:type="pct" w:w="5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B1F47"/>
                <w:sz w:val="20"/>
                <w:szCs w:val="20"/>
              </w:rPr>
              <w:t xml:space="preserve">Role in House 5 Expansion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M63</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Parser Symmetry Gate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Provides ontology lock validation (D-89) for all new module metadata schemas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M65</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Coverage Heat Map</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Measures and visualizes coverage across the 144 ontology spheres affected by arts expansion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M104</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Stacked Incentives as Observable Telemetry</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Converts royalty and incentive flows into measurable, auditable telemetry streams</w:t>
            </w:r>
          </w:p>
        </w:tc>
      </w:tr>
    </w:tbl>
    <w:p>
      <w:pPr>
        <w:spacing w:after="200" w:before="0"/>
      </w:pPr>
    </w:p>
    <w:p>
      <w:pPr>
        <w:spacing w:after="120" w:before="720" w:line="360" w:lineRule="auto"/>
        <w:jc w:val="center"/>
      </w:pPr>
      <w:r>
        <w:rPr>
          <w:rFonts w:ascii="Calibri" w:cs="Calibri" w:eastAsia="Calibri" w:hAnsi="Calibri"/>
          <w:b w:val="false"/>
          <w:bCs w:val="false"/>
          <w:i w:val="false"/>
          <w:iCs w:val="false"/>
          <w:strike w:val="false"/>
          <w:color w:val="666666"/>
          <w:sz w:val="18"/>
          <w:szCs w:val="18"/>
        </w:rPr>
        <w:t xml:space="preserve">This document constitutes the canonical record of Microsoft S4 seat output for the April 2026 Pantheon Council session. All items have been ratified by Convenor Daavud Sheldon unless otherwise noted.</w:t>
      </w:r>
      <w:r>
        <w:rPr>
          <w:rFonts w:ascii="Calibri" w:cs="Calibri" w:eastAsia="Calibri" w:hAnsi="Calibri"/>
          <w:b w:val="false"/>
          <w:bCs w:val="false"/>
          <w:i w:val="false"/>
          <w:iCs w:val="false"/>
          <w:color w:val="666666"/>
          <w:sz w:val="18"/>
          <w:szCs w:val="18"/>
        </w:rPr>
        <w:br/>
      </w:r>
      <w:r>
        <w:rPr>
          <w:rFonts w:ascii="Calibri" w:cs="Calibri" w:eastAsia="Calibri" w:hAnsi="Calibri"/>
          <w:b w:val="false"/>
          <w:bCs w:val="false"/>
          <w:i w:val="false"/>
          <w:iCs w:val="false"/>
          <w:strike w:val="false"/>
          <w:color w:val="666666"/>
          <w:sz w:val="18"/>
          <w:szCs w:val="18"/>
        </w:rPr>
        <w:t xml:space="preserve">Generated 29 April 2026 — Council Record — Canonical Reference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uueo3mVRKqDYcswdc3Bpz</dc:title>
  <dc:creator>Un-named</dc:creator>
  <dc:description>Generated document</dc:description>
  <cp:lastModifiedBy>Un-named</cp:lastModifiedBy>
  <cp:revision>1</cp:revision>
  <dcterms:created xsi:type="dcterms:W3CDTF">2026-04-29T09:18:49.387Z</dcterms:created>
  <dcterms:modified xsi:type="dcterms:W3CDTF">2026-04-29T09:18:49.387Z</dcterms:modified>
</cp:coreProperties>
</file>

<file path=docProps/custom.xml><?xml version="1.0" encoding="utf-8"?>
<Properties xmlns="http://schemas.openxmlformats.org/officeDocument/2006/custom-properties" xmlns:vt="http://schemas.openxmlformats.org/officeDocument/2006/docPropsVTypes"/>
</file>