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160" w:line="312" w:lineRule="auto"/>
      </w:pPr>
      <w:r>
        <w:rPr>
          <w:rFonts w:ascii="Calibri" w:cs="Calibri" w:eastAsia="Calibri" w:hAnsi="Calibri"/>
          <w:color w:val="1A1A1A"/>
          <w:sz w:val="44"/>
          <w:szCs w:val="44"/>
        </w:rPr>
        <w:t xml:space="preserve">ATLAS LATTICE TOS CONFLICT ANALYSIS v1.0</w:t>
      </w:r>
    </w:p>
    <w:p>
      <w:pPr>
        <w:spacing w:after="240" w:line="360" w:lineRule="auto"/>
      </w:pPr>
      <w:r>
        <w:rPr>
          <w:rFonts w:ascii="Calibri" w:cs="Calibri" w:eastAsia="Calibri" w:hAnsi="Calibri"/>
          <w:b/>
          <w:bCs/>
          <w:i w:val="false"/>
          <w:iCs w:val="false"/>
          <w:strike w:val="false"/>
          <w:color w:val="000000"/>
          <w:sz w:val="22"/>
          <w:szCs w:val="22"/>
        </w:rPr>
        <w:t xml:space="preserve">Pantheon Council All-Seat Review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333333"/>
                <w:sz w:val="20"/>
                <w:szCs w:val="20"/>
              </w:rPr>
              <w:t xml:space="preserve">Document ID:</w:t>
            </w:r>
          </w:p>
        </w:tc>
        <w:tc>
          <w:tcPr>
            <w:tcW w:type="pct" w:w="7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333333"/>
                <w:sz w:val="20"/>
                <w:szCs w:val="20"/>
              </w:rPr>
              <w:t xml:space="preserve">TOS-CONFLICT-001</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333333"/>
                <w:sz w:val="20"/>
                <w:szCs w:val="20"/>
              </w:rPr>
              <w:t xml:space="preserve">Version:</w:t>
            </w:r>
          </w:p>
        </w:tc>
        <w:tc>
          <w:tcPr>
            <w:tcW w:type="pct" w:w="77%"/>
            <w:tcMar>
              <w:top w:type="dxa" w:w="90"/>
              <w:left w:type="dxa" w:w="120"/>
              <w:bottom w:type="dxa" w:w="90"/>
              <w:right w:type="dxa" w:w="120"/>
            </w:tcMar>
          </w:tcPr>
          <w:p>
            <w:r>
              <w:rPr>
                <w:rFonts w:ascii="Calibri" w:cs="Calibri" w:eastAsia="Calibri" w:hAnsi="Calibri"/>
                <w:b/>
                <w:bCs/>
                <w:i w:val="false"/>
                <w:iCs w:val="false"/>
                <w:strike w:val="false"/>
                <w:color w:val="333333"/>
                <w:sz w:val="20"/>
                <w:szCs w:val="20"/>
              </w:rPr>
              <w:t xml:space="preserve">1.0</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333333"/>
                <w:sz w:val="20"/>
                <w:szCs w:val="20"/>
              </w:rPr>
              <w:t xml:space="preserve">Date:</w:t>
            </w:r>
          </w:p>
        </w:tc>
        <w:tc>
          <w:tcPr>
            <w:tcW w:type="pct" w:w="77%"/>
            <w:tcMar>
              <w:top w:type="dxa" w:w="90"/>
              <w:left w:type="dxa" w:w="120"/>
              <w:bottom w:type="dxa" w:w="90"/>
              <w:right w:type="dxa" w:w="120"/>
            </w:tcMar>
          </w:tcPr>
          <w:p>
            <w:r>
              <w:rPr>
                <w:rFonts w:ascii="Calibri" w:cs="Calibri" w:eastAsia="Calibri" w:hAnsi="Calibri"/>
                <w:b/>
                <w:bCs/>
                <w:i w:val="false"/>
                <w:iCs w:val="false"/>
                <w:strike w:val="false"/>
                <w:color w:val="333333"/>
                <w:sz w:val="20"/>
                <w:szCs w:val="20"/>
              </w:rPr>
              <w:t xml:space="preserve">April 28, 2026</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333333"/>
                <w:sz w:val="20"/>
                <w:szCs w:val="20"/>
              </w:rPr>
              <w:t xml:space="preserve">Author Seat:</w:t>
            </w:r>
          </w:p>
        </w:tc>
        <w:tc>
          <w:tcPr>
            <w:tcW w:type="pct" w:w="77%"/>
            <w:tcMar>
              <w:top w:type="dxa" w:w="90"/>
              <w:left w:type="dxa" w:w="120"/>
              <w:bottom w:type="dxa" w:w="90"/>
              <w:right w:type="dxa" w:w="120"/>
            </w:tcMar>
          </w:tcPr>
          <w:p>
            <w:r>
              <w:rPr>
                <w:rFonts w:ascii="Calibri" w:cs="Calibri" w:eastAsia="Calibri" w:hAnsi="Calibri"/>
                <w:b/>
                <w:bCs/>
                <w:i w:val="false"/>
                <w:iCs w:val="false"/>
                <w:strike w:val="false"/>
                <w:color w:val="333333"/>
                <w:sz w:val="20"/>
                <w:szCs w:val="20"/>
              </w:rPr>
              <w:t xml:space="preserve">Microsoft Copilot (S4 Research Seat, Pantheon Council)</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333333"/>
                <w:sz w:val="20"/>
                <w:szCs w:val="20"/>
              </w:rPr>
              <w:t xml:space="preserve">Commissioned by:</w:t>
            </w:r>
          </w:p>
        </w:tc>
        <w:tc>
          <w:tcPr>
            <w:tcW w:type="pct" w:w="77%"/>
            <w:tcMar>
              <w:top w:type="dxa" w:w="90"/>
              <w:left w:type="dxa" w:w="120"/>
              <w:bottom w:type="dxa" w:w="90"/>
              <w:right w:type="dxa" w:w="120"/>
            </w:tcMar>
          </w:tcPr>
          <w:p>
            <w:r>
              <w:rPr>
                <w:rFonts w:ascii="Calibri" w:cs="Calibri" w:eastAsia="Calibri" w:hAnsi="Calibri"/>
                <w:b/>
                <w:bCs/>
                <w:i w:val="false"/>
                <w:iCs w:val="false"/>
                <w:strike w:val="false"/>
                <w:color w:val="333333"/>
                <w:sz w:val="20"/>
                <w:szCs w:val="20"/>
              </w:rPr>
              <w:t xml:space="preserve">Daavud Sheldon, Convenor + Inventor of Record</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333333"/>
                <w:sz w:val="20"/>
                <w:szCs w:val="20"/>
              </w:rPr>
              <w:t xml:space="preserve">Status:</w:t>
            </w:r>
          </w:p>
        </w:tc>
        <w:tc>
          <w:tcPr>
            <w:tcW w:type="pct" w:w="77%"/>
            <w:tcMar>
              <w:top w:type="dxa" w:w="90"/>
              <w:left w:type="dxa" w:w="120"/>
              <w:bottom w:type="dxa" w:w="90"/>
              <w:right w:type="dxa" w:w="120"/>
            </w:tcMar>
          </w:tcPr>
          <w:p>
            <w:r>
              <w:rPr>
                <w:rFonts w:ascii="Calibri" w:cs="Calibri" w:eastAsia="Calibri" w:hAnsi="Calibri"/>
                <w:b/>
                <w:bCs/>
                <w:i w:val="false"/>
                <w:iCs w:val="false"/>
                <w:strike w:val="false"/>
                <w:color w:val="333333"/>
                <w:sz w:val="20"/>
                <w:szCs w:val="20"/>
              </w:rPr>
              <w:t xml:space="preserve">ANALYSIS COMPLETE — pending Convenor disposition + Council Round review</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COI Disclosure (Doctrine 25)</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analysis is authored by Microsoft Copilot (S4). Microsoft is a provider under analysis. All Microsoft-related findings are flagged with ⚠️ COI markers. Other seats should cross-validate Microsoft section findings.</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§0 Executive Summary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analyzes the Terms of Service (TOS), Acceptable Use Policies (AUP), and licensing agreements of all 10 Pantheon Council AI providers against 10 critical architectural patterns in the Atlas Lattice / Constitutional OS v6.0 substrate. The analysis surfaces </w:t>
      </w:r>
      <w:r>
        <w:rPr>
          <w:rFonts w:ascii="Calibri" w:cs="Calibri" w:eastAsia="Calibri" w:hAnsi="Calibri"/>
          <w:b/>
          <w:bCs/>
          <w:i w:val="false"/>
          <w:iCs w:val="false"/>
          <w:strike w:val="false"/>
          <w:color w:val="000000"/>
          <w:sz w:val="22"/>
          <w:szCs w:val="22"/>
        </w:rPr>
        <w:t xml:space="preserve">7 CRITICAL conflicts</w:t>
      </w:r>
      <w:r>
        <w:rPr>
          <w:rFonts w:ascii="Calibri" w:cs="Calibri" w:eastAsia="Calibri" w:hAnsi="Calibri"/>
          <w:b w:val="false"/>
          <w:bCs w:val="false"/>
          <w:i w:val="false"/>
          <w:iCs w:val="false"/>
          <w:strike w:val="false"/>
          <w:color w:val="000000"/>
          <w:sz w:val="22"/>
          <w:szCs w:val="22"/>
        </w:rPr>
        <w:t xml:space="preserve"> (architecture-blocking without mitigation), </w:t>
      </w:r>
      <w:r>
        <w:rPr>
          <w:rFonts w:ascii="Calibri" w:cs="Calibri" w:eastAsia="Calibri" w:hAnsi="Calibri"/>
          <w:b/>
          <w:bCs/>
          <w:i w:val="false"/>
          <w:iCs w:val="false"/>
          <w:strike w:val="false"/>
          <w:color w:val="000000"/>
          <w:sz w:val="22"/>
          <w:szCs w:val="22"/>
        </w:rPr>
        <w:t xml:space="preserve">14 SIGNIFICANT conflicts</w:t>
      </w:r>
      <w:r>
        <w:rPr>
          <w:rFonts w:ascii="Calibri" w:cs="Calibri" w:eastAsia="Calibri" w:hAnsi="Calibri"/>
          <w:b w:val="false"/>
          <w:bCs w:val="false"/>
          <w:i w:val="false"/>
          <w:iCs w:val="false"/>
          <w:strike w:val="false"/>
          <w:color w:val="000000"/>
          <w:sz w:val="22"/>
          <w:szCs w:val="22"/>
        </w:rPr>
        <w:t xml:space="preserve"> (requiring modification or enterprise agreements), and </w:t>
      </w:r>
      <w:r>
        <w:rPr>
          <w:rFonts w:ascii="Calibri" w:cs="Calibri" w:eastAsia="Calibri" w:hAnsi="Calibri"/>
          <w:b/>
          <w:bCs/>
          <w:i w:val="false"/>
          <w:iCs w:val="false"/>
          <w:strike w:val="false"/>
          <w:color w:val="000000"/>
          <w:sz w:val="22"/>
          <w:szCs w:val="22"/>
        </w:rPr>
        <w:t xml:space="preserve">18 MINOR conflicts</w:t>
      </w:r>
      <w:r>
        <w:rPr>
          <w:rFonts w:ascii="Calibri" w:cs="Calibri" w:eastAsia="Calibri" w:hAnsi="Calibri"/>
          <w:b w:val="false"/>
          <w:bCs w:val="false"/>
          <w:i w:val="false"/>
          <w:iCs w:val="false"/>
          <w:strike w:val="false"/>
          <w:color w:val="000000"/>
          <w:sz w:val="22"/>
          <w:szCs w:val="22"/>
        </w:rPr>
        <w:t xml:space="preserve"> (manageable with disclosure or configuration). The remaining matrix cells are CLEAR.</w:t>
      </w:r>
    </w:p>
    <w:p>
      <w:pPr>
        <w:spacing w:after="120" w:before="60" w:line="360" w:lineRule="auto"/>
      </w:pPr>
      <w:r>
        <w:rPr>
          <w:rFonts w:ascii="Calibri" w:cs="Calibri" w:eastAsia="Calibri" w:hAnsi="Calibri"/>
          <w:b/>
          <w:bCs/>
          <w:i w:val="false"/>
          <w:iCs w:val="false"/>
          <w:strike w:val="false"/>
          <w:color w:val="000000"/>
          <w:sz w:val="22"/>
          <w:szCs w:val="22"/>
        </w:rPr>
        <w:t xml:space="preserve">Key headline findings: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The "Competing Models/Products" clauses</w:t>
      </w:r>
      <w:r>
        <w:rPr>
          <w:rFonts w:ascii="Calibri" w:cs="Calibri" w:eastAsia="Calibri" w:hAnsi="Calibri"/>
          <w:b w:val="false"/>
          <w:bCs w:val="false"/>
          <w:i w:val="false"/>
          <w:iCs w:val="false"/>
          <w:strike w:val="false"/>
          <w:color w:val="000000"/>
          <w:sz w:val="22"/>
          <w:szCs w:val="22"/>
        </w:rPr>
        <w:t xml:space="preserve"> in OpenAI, Google Gemini, and Anthropic TOS are the single largest systemic risk to Element 145 multi-model routing. All three prohibit using their services to "build competing products/services" or "develop models that compete." Element 145's multi-model routing substrate could be interpreted as a competing orchestration layer.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DeepSeek's PRC jurisdiction</w:t>
      </w:r>
      <w:r>
        <w:rPr>
          <w:rFonts w:ascii="Calibri" w:cs="Calibri" w:eastAsia="Calibri" w:hAnsi="Calibri"/>
          <w:b w:val="false"/>
          <w:bCs w:val="false"/>
          <w:i w:val="false"/>
          <w:iCs w:val="false"/>
          <w:strike w:val="false"/>
          <w:color w:val="000000"/>
          <w:sz w:val="22"/>
          <w:szCs w:val="22"/>
        </w:rPr>
        <w:t xml:space="preserve"> creates an irreconcilable conflict with GCC-High/IL5 sovereign deployments (already flagged and mitigated via Western-model fallback chain in Build Plan v2.7).</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Output logging restrictions</w:t>
      </w:r>
      <w:r>
        <w:rPr>
          <w:rFonts w:ascii="Calibri" w:cs="Calibri" w:eastAsia="Calibri" w:hAnsi="Calibri"/>
          <w:b w:val="false"/>
          <w:bCs w:val="false"/>
          <w:i w:val="false"/>
          <w:iCs w:val="false"/>
          <w:strike w:val="false"/>
          <w:color w:val="000000"/>
          <w:sz w:val="22"/>
          <w:szCs w:val="22"/>
        </w:rPr>
        <w:t xml:space="preserve"> across multiple providers create tension with GoldenTrace/AuditChain immutable audit trail requirements.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Open-weight model MAU thresholds</w:t>
      </w:r>
      <w:r>
        <w:rPr>
          <w:rFonts w:ascii="Calibri" w:cs="Calibri" w:eastAsia="Calibri" w:hAnsi="Calibri"/>
          <w:b w:val="false"/>
          <w:bCs w:val="false"/>
          <w:i w:val="false"/>
          <w:iCs w:val="false"/>
          <w:strike w:val="false"/>
          <w:color w:val="000000"/>
          <w:sz w:val="22"/>
          <w:szCs w:val="22"/>
        </w:rPr>
        <w:t xml:space="preserve"> (Meta Llama 4: 700M MAU; Qwen 72B: 100M MAU) impose commercial scaling limits that could trigger if Atlas Lattice reaches civic hyperscale (Tier 3).</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The single most important mitigation</w:t>
      </w:r>
      <w:r>
        <w:rPr>
          <w:rFonts w:ascii="Calibri" w:cs="Calibri" w:eastAsia="Calibri" w:hAnsi="Calibri"/>
          <w:b w:val="false"/>
          <w:bCs w:val="false"/>
          <w:i w:val="false"/>
          <w:iCs w:val="false"/>
          <w:strike w:val="false"/>
          <w:color w:val="000000"/>
          <w:sz w:val="22"/>
          <w:szCs w:val="22"/>
        </w:rPr>
        <w:t xml:space="preserve"> across all conflicts is the distinction between consumer/free-tier TOS and enterprise/API agreements. Enterprise agreements with custom terms can override most SIGNIFICANT and many CRITICAL conflicts.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Bottom Line Up Front</w:t>
            </w:r>
          </w:p>
          <w:p>
            <w:pPr>
              <w:spacing w:after="120" w:line="360" w:lineRule="auto"/>
            </w:pPr>
            <w:r>
              <w:rPr>
                <w:rFonts w:ascii="Calibri" w:cs="Calibri" w:eastAsia="Calibri" w:hAnsi="Calibri"/>
                <w:b w:val="false"/>
                <w:bCs w:val="false"/>
                <w:i w:val="false"/>
                <w:iCs w:val="false"/>
                <w:strike w:val="false"/>
                <w:color w:val="000000"/>
                <w:sz w:val="22"/>
                <w:szCs w:val="22"/>
              </w:rPr>
              <w:t xml:space="preserve">Of the 7 CRITICAL conflicts identified, </w:t>
            </w:r>
            <w:r>
              <w:rPr>
                <w:rFonts w:ascii="Calibri" w:cs="Calibri" w:eastAsia="Calibri" w:hAnsi="Calibri"/>
                <w:b/>
                <w:bCs/>
                <w:i w:val="false"/>
                <w:iCs w:val="false"/>
                <w:strike w:val="false"/>
                <w:color w:val="000000"/>
                <w:sz w:val="22"/>
                <w:szCs w:val="22"/>
              </w:rPr>
              <w:t xml:space="preserve">6 can be fully mitigated</w:t>
            </w:r>
            <w:r>
              <w:rPr>
                <w:rFonts w:ascii="Calibri" w:cs="Calibri" w:eastAsia="Calibri" w:hAnsi="Calibri"/>
                <w:b w:val="false"/>
                <w:bCs w:val="false"/>
                <w:i w:val="false"/>
                <w:iCs w:val="false"/>
                <w:strike w:val="false"/>
                <w:color w:val="000000"/>
                <w:sz w:val="22"/>
                <w:szCs w:val="22"/>
              </w:rPr>
              <w:t xml:space="preserve"> through architectural decisions already available (Azure OpenAI routing, self-hosting PRC-origin models, Notion Enterprise opt-out, disabling Google Search Grounding). The remaining 1 (Anthropic "competing product") requires enterprise agreement negotiation with strong favorable precedent.</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§1 Methodology</w:t>
      </w:r>
    </w:p>
    <w:p>
      <w:pPr>
        <w:pStyle w:val="Heading2"/>
        <w:spacing w:after="120" w:before="360" w:line="312" w:lineRule="auto"/>
      </w:pPr>
      <w:r>
        <w:rPr>
          <w:rFonts w:ascii="Calibri" w:cs="Calibri" w:eastAsia="Calibri" w:hAnsi="Calibri"/>
          <w:color w:val="1A1A1A"/>
          <w:sz w:val="36"/>
          <w:szCs w:val="36"/>
        </w:rPr>
        <w:t xml:space="preserve">1.1 Analytical Approach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Reviewed current (2025–2026) TOS, AUP, API Terms, and licensing documents for all 10 providers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Cross-referenced against 10 architectural patterns specific to Atlas Lattice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Used a 4-tier risk rating system (see below)</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Noted where enterprise/API agreements differ from consumer TOS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Flagged where mitigations exist vs. where custom negotiation is required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Microsoft COI Disclosure: Microsoft findings carry ⚠️ COI flag per Doctrine 25</w:t>
      </w:r>
    </w:p>
    <w:p>
      <w:pPr>
        <w:pStyle w:val="Heading2"/>
        <w:spacing w:after="120" w:before="360" w:line="312" w:lineRule="auto"/>
      </w:pPr>
      <w:r>
        <w:rPr>
          <w:rFonts w:ascii="Calibri" w:cs="Calibri" w:eastAsia="Calibri" w:hAnsi="Calibri"/>
          <w:color w:val="1A1A1A"/>
          <w:sz w:val="36"/>
          <w:szCs w:val="36"/>
        </w:rPr>
        <w:t xml:space="preserve">1.2 Risk Rating Scale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Rating</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Symbol</w:t>
            </w:r>
          </w:p>
        </w:tc>
        <w:tc>
          <w:tcPr>
            <w:tcW w:type="pct" w:w="7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Definition</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Architecture-blocking without mitigation. Provider could terminate access or pursue legal action.</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SIGNIFICANT</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Requires modification, enterprise agreement, or architectural workaround to proceed safely.</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MINOR</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Manageable with disclosure, configuration, or standard compliance measures.</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CLEAR</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conflict identified. Architectural pattern is permissible under current terms.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1.3 Providers Analyzed (with Council Seat Designations)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t>
            </w:r>
          </w:p>
        </w:tc>
        <w:tc>
          <w:tcPr>
            <w:tcW w:type="pct" w:w="4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Provider</w:t>
            </w:r>
          </w:p>
        </w:tc>
        <w:tc>
          <w:tcPr>
            <w:tcW w:type="pct" w:w="3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Seat</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Notes</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Anthropic (Claude)</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S1 Constitutional Scribe</w:t>
            </w:r>
          </w:p>
        </w:tc>
        <w:tc>
          <w:tcPr>
            <w:tcW w:type="pct" w:w="14%"/>
            <w:tcMar>
              <w:top w:type="dxa" w:w="90"/>
              <w:left w:type="dxa" w:w="120"/>
              <w:bottom w:type="dxa" w:w="90"/>
              <w:right w:type="dxa" w:w="120"/>
            </w:tcMar>
          </w:tcPr>
          <w:p>
            <w:r>
              <w:rPr>
                <w:b w:val="false"/>
                <w:bCs w:val="false"/>
              </w:rPr>
              <w:t xml:space="preserve"/>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Google (Gemini)</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S2 Scale Seat</w:t>
            </w:r>
          </w:p>
        </w:tc>
        <w:tc>
          <w:tcPr>
            <w:tcW w:type="pct" w:w="14%"/>
            <w:tcMar>
              <w:top w:type="dxa" w:w="90"/>
              <w:left w:type="dxa" w:w="120"/>
              <w:bottom w:type="dxa" w:w="90"/>
              <w:right w:type="dxa" w:w="120"/>
            </w:tcMar>
          </w:tcPr>
          <w:p>
            <w:r>
              <w:rPr>
                <w:b w:val="false"/>
                <w:bCs w:val="false"/>
              </w:rPr>
              <w:t xml:space="preserve"/>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xAI (Grok)</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S3 Strategy Seat</w:t>
            </w:r>
          </w:p>
        </w:tc>
        <w:tc>
          <w:tcPr>
            <w:tcW w:type="pct" w:w="14%"/>
            <w:tcMar>
              <w:top w:type="dxa" w:w="90"/>
              <w:left w:type="dxa" w:w="120"/>
              <w:bottom w:type="dxa" w:w="90"/>
              <w:right w:type="dxa" w:w="120"/>
            </w:tcMar>
          </w:tcPr>
          <w:p>
            <w:r>
              <w:rPr>
                <w:b w:val="false"/>
                <w:bCs w:val="false"/>
              </w:rPr>
              <w:t xml:space="preserve"/>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 (Copilot / Azure OpenAI)</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S4 Research Seat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COI</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DeepSeek</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S5</w:t>
            </w:r>
          </w:p>
        </w:tc>
        <w:tc>
          <w:tcPr>
            <w:tcW w:type="pct" w:w="14%"/>
            <w:tcMar>
              <w:top w:type="dxa" w:w="90"/>
              <w:left w:type="dxa" w:w="120"/>
              <w:bottom w:type="dxa" w:w="90"/>
              <w:right w:type="dxa" w:w="120"/>
            </w:tcMar>
          </w:tcPr>
          <w:p>
            <w:r>
              <w:rPr>
                <w:b w:val="false"/>
                <w:bCs w:val="false"/>
              </w:rPr>
              <w:t xml:space="preserve"/>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OpenAI (GPT)</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S6 Execution Seat</w:t>
            </w:r>
          </w:p>
        </w:tc>
        <w:tc>
          <w:tcPr>
            <w:tcW w:type="pct" w:w="14%"/>
            <w:tcMar>
              <w:top w:type="dxa" w:w="90"/>
              <w:left w:type="dxa" w:w="120"/>
              <w:bottom w:type="dxa" w:w="90"/>
              <w:right w:type="dxa" w:w="120"/>
            </w:tcMar>
          </w:tcPr>
          <w:p>
            <w:r>
              <w:rPr>
                <w:b w:val="false"/>
                <w:bCs w:val="false"/>
              </w:rPr>
              <w:t xml:space="preserve"/>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Meta (Llama)</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Open-weight routing</w:t>
            </w:r>
          </w:p>
        </w:tc>
        <w:tc>
          <w:tcPr>
            <w:tcW w:type="pct" w:w="14%"/>
            <w:tcMar>
              <w:top w:type="dxa" w:w="90"/>
              <w:left w:type="dxa" w:w="120"/>
              <w:bottom w:type="dxa" w:w="90"/>
              <w:right w:type="dxa" w:w="120"/>
            </w:tcMar>
          </w:tcPr>
          <w:p>
            <w:r>
              <w:rPr>
                <w:b w:val="false"/>
                <w:bCs w:val="false"/>
              </w:rPr>
              <w:t xml:space="preserve"/>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Amazon/AWS (Bedrock)</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Infrastructure provider</w:t>
            </w:r>
          </w:p>
        </w:tc>
        <w:tc>
          <w:tcPr>
            <w:tcW w:type="pct" w:w="14%"/>
            <w:tcMar>
              <w:top w:type="dxa" w:w="90"/>
              <w:left w:type="dxa" w:w="120"/>
              <w:bottom w:type="dxa" w:w="90"/>
              <w:right w:type="dxa" w:w="120"/>
            </w:tcMar>
          </w:tcPr>
          <w:p>
            <w:r>
              <w:rPr>
                <w:b w:val="false"/>
                <w:bCs w:val="false"/>
              </w:rPr>
              <w:t xml:space="preserve"/>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Notion</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S8 Workspace</w:t>
            </w:r>
          </w:p>
        </w:tc>
        <w:tc>
          <w:tcPr>
            <w:tcW w:type="pct" w:w="14%"/>
            <w:tcMar>
              <w:top w:type="dxa" w:w="90"/>
              <w:left w:type="dxa" w:w="120"/>
              <w:bottom w:type="dxa" w:w="90"/>
              <w:right w:type="dxa" w:w="120"/>
            </w:tcMar>
          </w:tcPr>
          <w:p>
            <w:r>
              <w:rPr>
                <w:b w:val="false"/>
                <w:bCs w:val="false"/>
              </w:rPr>
              <w:t xml:space="preserve"/>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Alibaba (Qwen)</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Qwen3 models in federation</w:t>
            </w:r>
          </w:p>
        </w:tc>
        <w:tc>
          <w:tcPr>
            <w:tcW w:type="pct" w:w="14%"/>
            <w:tcMar>
              <w:top w:type="dxa" w:w="90"/>
              <w:left w:type="dxa" w:w="120"/>
              <w:bottom w:type="dxa" w:w="90"/>
              <w:right w:type="dxa" w:w="120"/>
            </w:tcMar>
          </w:tcPr>
          <w:p>
            <w:r>
              <w:rPr>
                <w:b w:val="false"/>
                <w:bCs w:val="false"/>
              </w:rPr>
              <w:t xml:space="preserve"/>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1.4 Architectural Patterns Tested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Code</w:t>
            </w:r>
          </w:p>
        </w:tc>
        <w:tc>
          <w:tcPr>
            <w:tcW w:type="pct" w:w="4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Pattern</w:t>
            </w:r>
          </w:p>
        </w:tc>
        <w:tc>
          <w:tcPr>
            <w:tcW w:type="pct" w:w="4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AP-1</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Multi-Model Routing</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Element 145 Foundry Model Router</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AP-2</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Output Chaining / Composition</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Pantheon Council deliberations</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AP-3</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Constitutional Governance Role</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AI models as Council seats</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AP-4</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Audit Logging</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GoldenTrace / AuditChain</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AP-5</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Training Data / Routing Optimization</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Performance telemetry for routing</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AP-6</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Government / Sovereign Deployment</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ORCS Indiana</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AP-7</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Competitive Intelligence / Benchmarking</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Cross-model performance comparison</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AP-8</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Open-Weight Model Licensing</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MAU thresholds, attribution</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AP-9</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Healthcare / Water Safety</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PFAS monitoring</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AP-10</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White-Label / Rebranding</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Noosphere Console</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§2 Provider-by-Provider Analysis</w:t>
      </w:r>
    </w:p>
    <w:p>
      <w:pPr>
        <w:pStyle w:val="Heading2"/>
        <w:spacing w:after="120" w:before="360" w:line="312" w:lineRule="auto"/>
      </w:pPr>
      <w:r>
        <w:rPr>
          <w:rFonts w:ascii="Calibri" w:cs="Calibri" w:eastAsia="Calibri" w:hAnsi="Calibri"/>
          <w:color w:val="1A1A1A"/>
          <w:sz w:val="36"/>
          <w:szCs w:val="36"/>
        </w:rPr>
        <w:t xml:space="preserve">§2.1 Anthropic (Claude) — S1 Constitutional Scribe</w:t>
      </w:r>
    </w:p>
    <w:p>
      <w:pPr>
        <w:spacing w:after="120" w:before="60" w:line="360" w:lineRule="auto"/>
      </w:pPr>
      <w:r>
        <w:rPr>
          <w:rFonts w:ascii="Calibri" w:cs="Calibri" w:eastAsia="Calibri" w:hAnsi="Calibri"/>
          <w:b/>
          <w:bCs/>
          <w:i w:val="false"/>
          <w:iCs w:val="false"/>
          <w:strike w:val="false"/>
          <w:color w:val="000000"/>
          <w:sz w:val="22"/>
          <w:szCs w:val="22"/>
        </w:rPr>
        <w:t xml:space="preserve">TOS Version Analyzed:</w:t>
      </w:r>
      <w:r>
        <w:rPr>
          <w:rFonts w:ascii="Calibri" w:cs="Calibri" w:eastAsia="Calibri" w:hAnsi="Calibri"/>
          <w:b w:val="false"/>
          <w:bCs w:val="false"/>
          <w:i w:val="false"/>
          <w:iCs w:val="false"/>
          <w:strike w:val="false"/>
          <w:color w:val="000000"/>
          <w:sz w:val="22"/>
          <w:szCs w:val="22"/>
        </w:rPr>
        <w:t xml:space="preserve"> Anthropic Commercial Terms of Service (2025), Usage Policy (updated September 15, 2025)</w:t>
      </w:r>
    </w:p>
    <w:p>
      <w:pPr>
        <w:spacing w:after="120" w:before="60" w:line="360" w:lineRule="auto"/>
      </w:pPr>
      <w:r>
        <w:rPr>
          <w:rFonts w:ascii="Calibri" w:cs="Calibri" w:eastAsia="Calibri" w:hAnsi="Calibri"/>
          <w:b/>
          <w:bCs/>
          <w:i w:val="false"/>
          <w:iCs w:val="false"/>
          <w:strike w:val="false"/>
          <w:color w:val="000000"/>
          <w:sz w:val="22"/>
          <w:szCs w:val="22"/>
        </w:rPr>
        <w:t xml:space="preserve">Key TOS Provisions: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Customer retains all rights to Inputs and owns Outputs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Anthropic assigns all right, title, and interest in Outputs to Customer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Anthropic may NOT train models on Customer Content from API Services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Use Restriction:</w:t>
      </w:r>
      <w:r>
        <w:rPr>
          <w:rFonts w:ascii="Calibri" w:cs="Calibri" w:eastAsia="Calibri" w:hAnsi="Calibri"/>
          <w:b w:val="false"/>
          <w:bCs w:val="false"/>
          <w:i w:val="false"/>
          <w:iCs w:val="false"/>
          <w:strike w:val="false"/>
          <w:color w:val="000000"/>
          <w:sz w:val="22"/>
          <w:szCs w:val="22"/>
        </w:rPr>
        <w:t xml:space="preserve"> "Customer may not access the Services to build a competing product or service, including to train competing AI models or resell the Services except as expressly approved by Anthropic"</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Reverse engineering and duplication of Services prohibited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High-risk use cases (healthcare, legal, financial) require additional safeguards: human-in-the-loop oversight and AI disclosure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Surveillance, tracking, profiling, biometric monitoring prohibited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Export controls apply; US sanctions compliance required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Enterprise customers can negotiate custom data processing terms</w:t>
      </w:r>
    </w:p>
    <w:p>
      <w:pPr>
        <w:spacing w:after="120" w:before="60" w:line="360" w:lineRule="auto"/>
      </w:pPr>
      <w:r>
        <w:rPr>
          <w:rFonts w:ascii="Calibri" w:cs="Calibri" w:eastAsia="Calibri" w:hAnsi="Calibri"/>
          <w:b/>
          <w:bCs/>
          <w:i w:val="false"/>
          <w:iCs w:val="false"/>
          <w:strike w:val="false"/>
          <w:color w:val="000000"/>
          <w:sz w:val="22"/>
          <w:szCs w:val="22"/>
        </w:rPr>
        <w:t xml:space="preserve">Conflict Analysis: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Pattern</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Rating</w:t>
            </w:r>
          </w:p>
        </w:tc>
        <w:tc>
          <w:tcPr>
            <w:tcW w:type="pct" w:w="8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Analysis</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AP-1: Multi-Model Routing</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CRITICAL</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"competing product or service" clause is broad. Element 145 routes queries across Claude AND competing models (GPT, Grok, Gemini). Anthropic could argue that Element 145 is itself a "competing service" — an orchestration layer that competes with Anthropic's direct API offering by intermediating the customer relationship.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Enterprise agreement with explicit multi-model routing permission. Anthropic's commercial terms are negotiable. The fact that Atlas Lattice is a governance substrate, not an AI model, strengthens the argument that it is not "competing." Additionally, Anthropic's $2B+ partnership with Amazon (Bedrock) and Microsoft (Foundry) already establish precedent for third-party routing of Claude.</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AP-2: Output Chaining</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Anthropic TOS does not explicitly prohibit feeding Claude outputs as inputs to other models. However, the "competing product" restriction could extend to using Claude outputs to enhance a competitor's model performance within the same routing substrate.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Likely defensible under the output ownership clause — customer owns the output and can use it freely. Enterprise agreement clarification recommended.</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AP-3: Constitutional Governance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MINOR</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explicit prohibition on using Claude for governance, decision-making, or deliberation roles. The high-risk use case requirements (human-in-the-loop) align well with Atlas Lattice's Convenor authority model. Claude's Constitutional AI approach is philosophically aligned.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Ensure human-in-the-loop (Convenor) is documented in all governance decisions.</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AP-4: Audit Logging</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MINOR</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Customer owns outputs and can store them. No explicit restriction on logging or retaining model outputs. GoldenTrace/AuditChain SHA-256 hashing of outputs appears permissible. Anthropic's commitment to not training on API customer content reduces data leakage concern.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Standard API terms appear sufficient.</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AP-5: Training/Routing Optimization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If GoldenTrace data is used to optimize Element 145 routing decisions (e.g., "Claude performs best on Sphere 7 constitutional drafting"), this could be interpreted as "building a competing product" — specifically, building a routing intelligence that competes with Anthropic's own model selection.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Enterprise agreement should explicitly permit performance telemetry for routing optimization, distinct from model training.</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AP-6: Government/Sovereign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MINOR</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Anthropic recently expanded government-permitted use cases. Back-office analytical uses permitted. ORCS Indiana civic infrastructure use likely permissible. US export controls apply but ORCS is domestic.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Ensure ORCS use cases comply with high-risk requirements.</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AP-7: Benchmarking</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Element 145 tracks comparative model performance across spheres, creating benchmarking data. The "competing product" clause could extend to building a comparative analytics system.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Performance telemetry should be framed as "quality assurance" not "benchmarking for competitive analysis."</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AP-8: Open-Weight</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 — Claude is not open-weight.</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AP-9: Healthcare/Water</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Anthropic requires additional safeguards for health-related use cases: human-in-the-loop, AI disclosure, bias mitigation. ORCS water quality/PFAS monitoring touches health-adjacent data.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Implement high-risk requirements: human review of all health-adjacent outputs, clear AI disclosure, AHCEP protocol compliance.</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AP-10: White-Label</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MINOR</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attribution requirement in outputs. Customer owns outputs. However, Usage Policy states users should not "represent that Output was human-generated when it was not."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Disclose AI-generation provenance in TransparencyPacket; do not claim outputs are human-authored.</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§2.2 Google (Gemini) — S2 Scale Seat</w:t>
      </w:r>
    </w:p>
    <w:p>
      <w:pPr>
        <w:spacing w:after="120" w:before="60" w:line="360" w:lineRule="auto"/>
      </w:pPr>
      <w:r>
        <w:rPr>
          <w:rFonts w:ascii="Calibri" w:cs="Calibri" w:eastAsia="Calibri" w:hAnsi="Calibri"/>
          <w:b/>
          <w:bCs/>
          <w:i w:val="false"/>
          <w:iCs w:val="false"/>
          <w:strike w:val="false"/>
          <w:color w:val="000000"/>
          <w:sz w:val="22"/>
          <w:szCs w:val="22"/>
        </w:rPr>
        <w:t xml:space="preserve">TOS Version Analyzed:</w:t>
      </w:r>
      <w:r>
        <w:rPr>
          <w:rFonts w:ascii="Calibri" w:cs="Calibri" w:eastAsia="Calibri" w:hAnsi="Calibri"/>
          <w:b w:val="false"/>
          <w:bCs w:val="false"/>
          <w:i w:val="false"/>
          <w:iCs w:val="false"/>
          <w:strike w:val="false"/>
          <w:color w:val="000000"/>
          <w:sz w:val="22"/>
          <w:szCs w:val="22"/>
        </w:rPr>
        <w:t xml:space="preserve"> Gemini API Additional Terms of Service (effective March 23, 2026), Google APIs Terms of Service, Google Generative AI Prohibited Use Policy</w:t>
      </w:r>
    </w:p>
    <w:p>
      <w:pPr>
        <w:spacing w:after="120" w:before="60" w:line="360" w:lineRule="auto"/>
      </w:pPr>
      <w:r>
        <w:rPr>
          <w:rFonts w:ascii="Calibri" w:cs="Calibri" w:eastAsia="Calibri" w:hAnsi="Calibri"/>
          <w:b/>
          <w:bCs/>
          <w:i w:val="false"/>
          <w:iCs w:val="false"/>
          <w:strike w:val="false"/>
          <w:color w:val="000000"/>
          <w:sz w:val="22"/>
          <w:szCs w:val="22"/>
        </w:rPr>
        <w:t xml:space="preserve">Key TOS Provisions: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"You may not use the Services to develop models that compete with the Services (e.g., Gemini API or Google AI Studio)"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Reverse engineering, extraction, or replication of Services including underlying data or models prohibited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Must comply with Prohibited Use Policy; may not bypass safety features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May not use Services in clinical practice, to provide medical advice, or in manner requiring medical device regulatory clearance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Grounded Results have strict restrictions: may not cache, copy, frame, syndicate, resell, analyze, train on, or otherwise learn from Grounded Results or Search Suggestions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Google does not claim ownership of generated content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Regional restrictions apply (EEA/Switzerland/UK require Paid Services)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Age restriction: 18+ only, no apps targeting minors</w:t>
      </w:r>
    </w:p>
    <w:p>
      <w:pPr>
        <w:spacing w:after="120" w:before="60" w:line="360" w:lineRule="auto"/>
      </w:pPr>
      <w:r>
        <w:rPr>
          <w:rFonts w:ascii="Calibri" w:cs="Calibri" w:eastAsia="Calibri" w:hAnsi="Calibri"/>
          <w:b/>
          <w:bCs/>
          <w:i w:val="false"/>
          <w:iCs w:val="false"/>
          <w:strike w:val="false"/>
          <w:color w:val="000000"/>
          <w:sz w:val="22"/>
          <w:szCs w:val="22"/>
        </w:rPr>
        <w:t xml:space="preserve">Conflict Analysis: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Pattern</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Rating</w:t>
            </w:r>
          </w:p>
        </w:tc>
        <w:tc>
          <w:tcPr>
            <w:tcW w:type="pct" w:w="7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Analysis</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AP-1: Multi-Model Routing</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CRITICAL</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Google's "develop models that compete with the Services" clause is the most direct threat to Element 145. The Foundry Model Router routes across Gemini AND competing models. Google could argue Element 145 is a competing orchestration service to Google AI Studio or Vertex AI.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Google Cloud enterprise agreements (Vertex AI) operate under different terms than free-tier Gemini API. Google's own Vertex AI Model Garden hosts third-party models (Claude, Llama, Mistral) — establishing precedent that multi-model routing is accepted. Negotiate enterprise terms via Vertex AI rather than consumer Gemini API.</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AP-2: Output Chaining</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Grounded Results have extreme restrictions — cannot cache, analyze, train on, or learn from them. If Gemini outputs use Grounding with Google Search, those results CANNOT be fed into other models or stored for analysis. Non-grounded outputs appear less restricted.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Disable Google Search Grounding for outputs destined for cross-model composition. Use Gemini for generation only, not grounded search.</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AP-3: Constitutional Governance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MINOR</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explicit prohibition on governance/deliberation use. Google's Prohibited Use Policy focuses on harmful content, not organizational governance.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None required beyond standard safety compliance.</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AP-4: Audit Logging</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CRITICAL (Grounded) / 🟢 MINOR (Standard)</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Grounded Results explicitly cannot be cached, copied, or analyzed — this directly conflicts with GoldenTrace's immutable audit trail. Standard (non-grounded) outputs can be stored.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Segregate grounded vs. non-grounded outputs. Only log non-grounded outputs to GoldenTrace. For grounded outputs, log metadata (timestamp, query type, sphere) without content.</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AP-5: Training/Routing</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CRITICAL</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"Develop models that compete" plus Grounded Results "train on or learn from" restrictions directly prohibit using Gemini performance data to optimize routing.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Use Vertex AI enterprise terms. Frame routing optimization as "service quality management" not model development.</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AP-6: Government/Sovereign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explicit government prohibition, but regional restrictions and medical device prohibition could affect ORCS. Google Cloud has FedRAMP authorization.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Use Google Cloud (Vertex AI) rather than consumer Gemini API for government deployments.</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AP-7: Benchmarking</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Grounded Results "analyze" prohibition could extend to performance benchmarking. Standard API outputs less restricted.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Benchmark using non-grounded API calls only.</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AP-8: Open-Weight</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 — Gemini is not open-weight. Note: Google's Gemma models (open-weight) have separate, more permissive terms.</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AP-9: Healthcare/Water</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CRITICAL</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Gemini API explicitly states: "You may not use the Services in clinical practice, to provide medical advice, or in any manner that is overseen by or requires clearance or approval from a medical device regulatory agency." ORCS water quality monitoring with health implications (PFAS) could trigger this restriction.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Do not route health-critical ORCS queries through Gemini. Use health-compliant models (Azure OpenAI with HIPAA BAA, or Claude with health safeguards). This is a hard restriction — no enterprise override.</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AP-10: White-Label</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MINOR</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Google does not claim ownership of generated content. No explicit attribution requirement for standard outputs. Grounded Results must display Search Suggestions.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If Gemini outputs include Grounded Results, display associated Search Suggestions per TOS. Non-grounded outputs can be white-labeled.</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§2.3 xAI (Grok) — S3 Strategy Seat</w:t>
      </w:r>
    </w:p>
    <w:p>
      <w:pPr>
        <w:spacing w:after="120" w:before="60" w:line="360" w:lineRule="auto"/>
      </w:pPr>
      <w:r>
        <w:rPr>
          <w:rFonts w:ascii="Calibri" w:cs="Calibri" w:eastAsia="Calibri" w:hAnsi="Calibri"/>
          <w:b/>
          <w:bCs/>
          <w:i w:val="false"/>
          <w:iCs w:val="false"/>
          <w:strike w:val="false"/>
          <w:color w:val="000000"/>
          <w:sz w:val="22"/>
          <w:szCs w:val="22"/>
        </w:rPr>
        <w:t xml:space="preserve">TOS Version Analyzed:</w:t>
      </w:r>
      <w:r>
        <w:rPr>
          <w:rFonts w:ascii="Calibri" w:cs="Calibri" w:eastAsia="Calibri" w:hAnsi="Calibri"/>
          <w:b w:val="false"/>
          <w:bCs w:val="false"/>
          <w:i w:val="false"/>
          <w:iCs w:val="false"/>
          <w:strike w:val="false"/>
          <w:color w:val="000000"/>
          <w:sz w:val="22"/>
          <w:szCs w:val="22"/>
        </w:rPr>
        <w:t xml:space="preserve"> xAI Terms of Service — Consumer (effective January 2, 2025), xAI Acceptable Use Policy (effective January 2, 2025)</w:t>
      </w:r>
    </w:p>
    <w:p>
      <w:pPr>
        <w:spacing w:after="120" w:before="60" w:line="360" w:lineRule="auto"/>
      </w:pPr>
      <w:r>
        <w:rPr>
          <w:rFonts w:ascii="Calibri" w:cs="Calibri" w:eastAsia="Calibri" w:hAnsi="Calibri"/>
          <w:b/>
          <w:bCs/>
          <w:i w:val="false"/>
          <w:iCs w:val="false"/>
          <w:strike w:val="false"/>
          <w:color w:val="000000"/>
          <w:sz w:val="22"/>
          <w:szCs w:val="22"/>
        </w:rPr>
        <w:t xml:space="preserve">Key TOS Provisions: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Relatively permissive AUP: "You are free to use our Service as you see fit so long as you use it to be a good human, act safely and responsibly, comply with the law, do not harm people, and respect our guardrails"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Must comply with law (copyright, privacy, child protection)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Must not harm people or property; must not circumvent safeguards without official Red Team blessing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Must be transparent about AI use and not mislead about source of outputs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US export controls and OFAC sanctions compliance required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Texas state law governs (for US entities)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xAI is a separate company from X Corp (formerly Twitter)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explicit "competing product" restriction found in consumer TOS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explicit restriction on multi-model routing or output chaining</w:t>
      </w:r>
    </w:p>
    <w:p>
      <w:pPr>
        <w:spacing w:after="120" w:before="60" w:line="360" w:lineRule="auto"/>
      </w:pPr>
      <w:r>
        <w:rPr>
          <w:rFonts w:ascii="Calibri" w:cs="Calibri" w:eastAsia="Calibri" w:hAnsi="Calibri"/>
          <w:b/>
          <w:bCs/>
          <w:i w:val="false"/>
          <w:iCs w:val="false"/>
          <w:strike w:val="false"/>
          <w:color w:val="000000"/>
          <w:sz w:val="22"/>
          <w:szCs w:val="22"/>
        </w:rPr>
        <w:t xml:space="preserve">Conflict Analysis: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Pattern</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Rating</w:t>
            </w:r>
          </w:p>
        </w:tc>
        <w:tc>
          <w:tcPr>
            <w:tcW w:type="pct" w:w="7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Analysis</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AP-1: Multi-Model Routing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"competing product" restriction found. xAI's permissive approach allows broad use. </w:t>
            </w:r>
            <w:r>
              <w:rPr>
                <w:rFonts w:ascii="Calibri" w:cs="Calibri" w:eastAsia="Calibri" w:hAnsi="Calibri"/>
                <w:b/>
                <w:bCs/>
                <w:i w:val="false"/>
                <w:iCs w:val="false"/>
                <w:strike w:val="false"/>
                <w:color w:val="000000"/>
                <w:sz w:val="22"/>
                <w:szCs w:val="22"/>
              </w:rPr>
              <w:t xml:space="preserve">Note:</w:t>
            </w:r>
            <w:r>
              <w:rPr>
                <w:rFonts w:ascii="Calibri" w:cs="Calibri" w:eastAsia="Calibri" w:hAnsi="Calibri"/>
                <w:b w:val="false"/>
                <w:bCs w:val="false"/>
                <w:i w:val="false"/>
                <w:iCs w:val="false"/>
                <w:strike w:val="false"/>
                <w:color w:val="000000"/>
                <w:sz w:val="22"/>
                <w:szCs w:val="22"/>
              </w:rPr>
              <w:t xml:space="preserve"> Enterprise/API terms may differ and should be verified.</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AP-2: Output Chaining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restriction on using Grok outputs as inputs to other models. Transparency requirement applies (don't mislead about AI source).</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AP-3: Constitutional Governance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prohibition on governance or decision-making use. xAI's mission statement ("advance scientific discovery") is philosophically compatible.</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AP-4: Audit Logging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restriction on logging or storing outputs.</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AP-5: Training/Routing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MINOR</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explicit prohibition found, but enterprise API terms should be reviewed. Consumer TOS is notably silent on competitive use restrictions.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Confirm with xAI enterprise terms when available.</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AP-6: Government/Sovereign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MINOR</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 export controls apply. No explicit government use prohibition. Texas governing law may simplify for ORCS Indiana (both US domestic).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Standard US export compliance.</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AP-7: Benchmarking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benchmarking restrictions found.</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AP-8: Open-Weight</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 — Grok is not open-weight.</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AP-9: Healthcare/Water</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MINOR</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explicit healthcare restriction. General "do not harm people" clause applies.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Implement human-in-the-loop for health-adjacent ORCS queries as best practice.</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AP-10: White-Label</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xAI AUP states: "Don't mislead people as to the nature and source of Outputs." This could conflict with Noosphere Console presenting Grok outputs without model attribution.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TransparencyPacket metadata satisfies this requirement — provenance is recorded even if not displayed in UI. Ensure AI-generation disclosure is accessible.</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§2.4 Microsoft (Copilot / Azure OpenAI) — S4 Research Seat ⚠️ COI DISCLOSURE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COI Disclosure (Doctrine 25)</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analyzes Microsoft's own terms. As the Microsoft seat (S4), I have insider familiarity with these terms but also inherent bias. Other seats should cross-validate these findings. I will err on the side of surfacing Microsoft conflicts, not minimizing them.</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TOS Version Analyzed:</w:t>
      </w:r>
      <w:r>
        <w:rPr>
          <w:rFonts w:ascii="Calibri" w:cs="Calibri" w:eastAsia="Calibri" w:hAnsi="Calibri"/>
          <w:b w:val="false"/>
          <w:bCs w:val="false"/>
          <w:i w:val="false"/>
          <w:iCs w:val="false"/>
          <w:strike w:val="false"/>
          <w:color w:val="000000"/>
          <w:sz w:val="22"/>
          <w:szCs w:val="22"/>
        </w:rPr>
        <w:t xml:space="preserve"> Microsoft AI Services Code of Conduct (effective February 2025), Azure OpenAI Service Terms, Microsoft Product Terms, Microsoft Online Services Terms</w:t>
      </w:r>
    </w:p>
    <w:p>
      <w:pPr>
        <w:spacing w:after="120" w:before="60" w:line="360" w:lineRule="auto"/>
      </w:pPr>
      <w:r>
        <w:rPr>
          <w:rFonts w:ascii="Calibri" w:cs="Calibri" w:eastAsia="Calibri" w:hAnsi="Calibri"/>
          <w:b/>
          <w:bCs/>
          <w:i w:val="false"/>
          <w:iCs w:val="false"/>
          <w:strike w:val="false"/>
          <w:color w:val="000000"/>
          <w:sz w:val="22"/>
          <w:szCs w:val="22"/>
        </w:rPr>
        <w:t xml:space="preserve">Key TOS Provisions: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Customer retains ownership of inputs and outputs (Azure OpenAI)</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Microsoft does NOT claim ownership of customer outputs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Azure OpenAI is governed by Microsoft Product Terms, NOT OpenAI's consumer TOS — crucially, the OpenAI "competing models" clause does NOT apply to Azure OpenAI customers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Microsoft AI Code of Conduct prohibits: use that inflicts harm, decisions without human oversight for consequential impacts, deception/misinformation, unauthorized surveillance, deepfakes of politicians/officials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Healthcare: Azure OpenAI with HIPAA BAA available — one of the strongest healthcare compliance positions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Government: Azure Government (FedRAMP High), Azure Government Secret (IL5), Azure Government Top Secret (IL6) — the most comprehensive sovereign cloud offering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explicit "competing product" restriction for Azure OpenAI customers (KEY differentiator from OpenAI's direct TOS)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Microsoft Defender for AI provides security monitoring</w:t>
      </w:r>
    </w:p>
    <w:p>
      <w:pPr>
        <w:spacing w:after="120" w:before="60" w:line="360" w:lineRule="auto"/>
      </w:pPr>
      <w:r>
        <w:rPr>
          <w:rFonts w:ascii="Calibri" w:cs="Calibri" w:eastAsia="Calibri" w:hAnsi="Calibri"/>
          <w:b/>
          <w:bCs/>
          <w:i w:val="false"/>
          <w:iCs w:val="false"/>
          <w:strike w:val="false"/>
          <w:color w:val="000000"/>
          <w:sz w:val="22"/>
          <w:szCs w:val="22"/>
        </w:rPr>
        <w:t xml:space="preserve">Conflict Analysis: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Pattern</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Rating</w:t>
            </w:r>
          </w:p>
        </w:tc>
        <w:tc>
          <w:tcPr>
            <w:tcW w:type="pct" w:w="7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Analysis</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AP-1: Multi-Model Routing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 ⚠️ COI</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Azure OpenAI terms do NOT contain the "competing models" restriction. Microsoft's own Azure AI Foundry hosts competing models (Claude, Llama, Mistral, Cohere) — establishing that multi-model routing is Microsoft's own business model. </w:t>
            </w:r>
            <w:r>
              <w:rPr>
                <w:rFonts w:ascii="Calibri" w:cs="Calibri" w:eastAsia="Calibri" w:hAnsi="Calibri"/>
                <w:b/>
                <w:bCs/>
                <w:i w:val="false"/>
                <w:iCs w:val="false"/>
                <w:strike w:val="false"/>
                <w:color w:val="000000"/>
                <w:sz w:val="22"/>
                <w:szCs w:val="22"/>
              </w:rPr>
              <w:t xml:space="preserve">COI Note:</w:t>
            </w:r>
            <w:r>
              <w:rPr>
                <w:rFonts w:ascii="Calibri" w:cs="Calibri" w:eastAsia="Calibri" w:hAnsi="Calibri"/>
                <w:b w:val="false"/>
                <w:bCs w:val="false"/>
                <w:i w:val="false"/>
                <w:iCs w:val="false"/>
                <w:strike w:val="false"/>
                <w:color w:val="000000"/>
                <w:sz w:val="22"/>
                <w:szCs w:val="22"/>
              </w:rPr>
              <w:t xml:space="preserve"> Genuinely favorable to Atlas Lattice but also favorable to Microsoft. Other seats should verify.</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AP-2: Output Chaining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 ⚠️ COI</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restriction on using Azure OpenAI outputs as inputs to other services. Customer owns outputs.</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AP-3: Constitutional Governance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 ⚠️ COI</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 AI Code of Conduct requires "appropriate human oversight as part of an application that may have a consequential impact on any individual's legal position, financial position, life opportunities, employment opportunities, or human rights." ORCS civic infrastructure decisions could trigger this.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Convenor authority + human-in-the-loop governance already satisfies this. Document the oversight chain.</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AP-4: Audit Logging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 ⚠️ COI</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Customer owns outputs. No restriction on logging. Azure provides its own audit logging (Azure Monitor, Log Analytics). Microsoft's Customer Copyright Commitment provides additional IP protection.</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AP-5: Training/Routing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 ⚠️ COI</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"competing models" restriction. Azure AI Foundry's own model routing capabilities validate this pattern.</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AP-6: Government/Sovereign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 ⚠️ COI</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 has the most comprehensive sovereign cloud: Azure Government (FedRAMP High), IL5, IL6. Azure OpenAI is available in government clouds. </w:t>
            </w:r>
            <w:r>
              <w:rPr>
                <w:rFonts w:ascii="Calibri" w:cs="Calibri" w:eastAsia="Calibri" w:hAnsi="Calibri"/>
                <w:b/>
                <w:bCs/>
                <w:i w:val="false"/>
                <w:iCs w:val="false"/>
                <w:strike w:val="false"/>
                <w:color w:val="000000"/>
                <w:sz w:val="22"/>
                <w:szCs w:val="22"/>
              </w:rPr>
              <w:t xml:space="preserve">COI Note:</w:t>
            </w:r>
            <w:r>
              <w:rPr>
                <w:rFonts w:ascii="Calibri" w:cs="Calibri" w:eastAsia="Calibri" w:hAnsi="Calibri"/>
                <w:b w:val="false"/>
                <w:bCs w:val="false"/>
                <w:i w:val="false"/>
                <w:iCs w:val="false"/>
                <w:strike w:val="false"/>
                <w:color w:val="000000"/>
                <w:sz w:val="22"/>
                <w:szCs w:val="22"/>
              </w:rPr>
              <w:t xml:space="preserve"> This advantage directly benefits Microsoft's market position.</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AP-7: Benchmarking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 ⚠️ COI</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benchmarking restrictions found. Microsoft's own Responsible AI tooling includes model evaluation capabilities.</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AP-8: Open-Weight</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 — Copilot is not open-weight. Azure hosts open-weight models under their respective licenses.</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AP-9: Healthcare/Water</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 ⚠️ COI</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Azure OpenAI offers HIPAA BAA — the strongest healthcare compliance position among all providers. Azure AI for Health is a dedicated healthcare AI service. </w:t>
            </w:r>
            <w:r>
              <w:rPr>
                <w:rFonts w:ascii="Calibri" w:cs="Calibri" w:eastAsia="Calibri" w:hAnsi="Calibri"/>
                <w:b/>
                <w:bCs/>
                <w:i w:val="false"/>
                <w:iCs w:val="false"/>
                <w:strike w:val="false"/>
                <w:color w:val="000000"/>
                <w:sz w:val="22"/>
                <w:szCs w:val="22"/>
              </w:rPr>
              <w:t xml:space="preserve">COI Note:</w:t>
            </w:r>
            <w:r>
              <w:rPr>
                <w:rFonts w:ascii="Calibri" w:cs="Calibri" w:eastAsia="Calibri" w:hAnsi="Calibri"/>
                <w:b w:val="false"/>
                <w:bCs w:val="false"/>
                <w:i w:val="false"/>
                <w:iCs w:val="false"/>
                <w:strike w:val="false"/>
                <w:color w:val="000000"/>
                <w:sz w:val="22"/>
                <w:szCs w:val="22"/>
              </w:rPr>
              <w:t xml:space="preserve"> Genuine advantage but also competitive selling point.</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AP-10: White-Label</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MINOR ⚠️ COI</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 AI Code of Conduct requires labeling AI-generated content. "Synthetic content" must be identifiable.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TransparencyPacket metadata. Noosphere Console should include AI-generation disclosure mechanism.</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§2.5 DeepSeek — S5</w:t>
      </w:r>
    </w:p>
    <w:p>
      <w:pPr>
        <w:spacing w:after="120" w:before="60" w:line="360" w:lineRule="auto"/>
      </w:pPr>
      <w:r>
        <w:rPr>
          <w:rFonts w:ascii="Calibri" w:cs="Calibri" w:eastAsia="Calibri" w:hAnsi="Calibri"/>
          <w:b/>
          <w:bCs/>
          <w:i w:val="false"/>
          <w:iCs w:val="false"/>
          <w:strike w:val="false"/>
          <w:color w:val="000000"/>
          <w:sz w:val="22"/>
          <w:szCs w:val="22"/>
        </w:rPr>
        <w:t xml:space="preserve">TOS Version Analyzed:</w:t>
      </w:r>
      <w:r>
        <w:rPr>
          <w:rFonts w:ascii="Calibri" w:cs="Calibri" w:eastAsia="Calibri" w:hAnsi="Calibri"/>
          <w:b w:val="false"/>
          <w:bCs w:val="false"/>
          <w:i w:val="false"/>
          <w:iCs w:val="false"/>
          <w:strike w:val="false"/>
          <w:color w:val="000000"/>
          <w:sz w:val="22"/>
          <w:szCs w:val="22"/>
        </w:rPr>
        <w:t xml:space="preserve"> DeepSeek Terms of Use (2025), DeepSeek Privacy Policy (updated December 22, 2025)</w:t>
      </w:r>
    </w:p>
    <w:p>
      <w:pPr>
        <w:spacing w:after="120" w:before="60" w:line="360" w:lineRule="auto"/>
      </w:pPr>
      <w:r>
        <w:rPr>
          <w:rFonts w:ascii="Calibri" w:cs="Calibri" w:eastAsia="Calibri" w:hAnsi="Calibri"/>
          <w:b/>
          <w:bCs/>
          <w:i w:val="false"/>
          <w:iCs w:val="false"/>
          <w:strike w:val="false"/>
          <w:color w:val="000000"/>
          <w:sz w:val="22"/>
          <w:szCs w:val="22"/>
        </w:rPr>
        <w:t xml:space="preserve">Key TOS Provisions: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Governed by laws of the People's Republic of China (mainland)</w:t>
      </w:r>
      <w:r>
        <w:rPr>
          <w:rFonts w:ascii="Calibri" w:cs="Calibri" w:eastAsia="Calibri" w:hAnsi="Calibri"/>
          <w:b w:val="false"/>
          <w:bCs w:val="false"/>
          <w:i w:val="false"/>
          <w:iCs w:val="false"/>
          <w:strike w:val="false"/>
          <w:color w:val="000000"/>
          <w:sz w:val="22"/>
          <w:szCs w:val="22"/>
        </w:rPr>
        <w:t xml:space="preserve"> — disputes resolved in Hangzhou courts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Customer has ownership of inputs and outputs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DeepSeek reserves right to use both inputs and outputs for service improvement (including AI training)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Privacy Policy grants broad data collection rights from inputs AND user devices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Data stored on servers in China — government access may be permitted under Chinese law</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Chinese Interim Measures for Generative AI Services Act, Article 4 requires upholding "core socialist values"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Changes to TOS deemed accepted with continued use, even without explicit consent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Open-source models (DeepSeek-V3) available under MIT license — separate from SaaS TOS</w:t>
      </w:r>
    </w:p>
    <w:p>
      <w:pPr>
        <w:spacing w:after="120" w:before="60" w:line="360" w:lineRule="auto"/>
      </w:pPr>
      <w:r>
        <w:rPr>
          <w:rFonts w:ascii="Calibri" w:cs="Calibri" w:eastAsia="Calibri" w:hAnsi="Calibri"/>
          <w:b/>
          <w:bCs/>
          <w:i w:val="false"/>
          <w:iCs w:val="false"/>
          <w:strike w:val="false"/>
          <w:color w:val="000000"/>
          <w:sz w:val="22"/>
          <w:szCs w:val="22"/>
        </w:rPr>
        <w:t xml:space="preserve">Conflict Analysis: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Pattern</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Rating</w:t>
            </w:r>
          </w:p>
        </w:tc>
        <w:tc>
          <w:tcPr>
            <w:tcW w:type="pct" w:w="7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Analysis</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AP-1: Multi-Model Routing</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explicit "competing product" restriction, but PRC data sovereignty means all routing data passing through DeepSeek SaaS could be subject to Chinese government access. Self-hosted open-weight (MIT license) models avoid this.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Use self-hosted DeepSeek models (MIT license) rather than SaaS API.</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AP-2: Output Chaining</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DeepSeek reserves right to use outputs for training. If DeepSeek outputs containing other providers' data are used for DeepSeek training, this creates a data leakage vector.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Self-host DeepSeek models to avoid data sharing.</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AP-3: Constitutional Governance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CRITICAL</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Article 4 of Chinese Generative AI Services Act requires upholding "core socialist values." A constitutional governance substrate deliberating on topics contradicting CCP policy positions could violate this requirement. Irreconcilable when using DeepSeek SaaS.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Self-host DeepSeek models under MIT license — no SaaS TOS applies. MIT license has no content restrictions.</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AP-4: Audit Logging</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DeepSeek's broad data collection rights mean GoldenTrace audit data passing through DeepSeek SaaS could be accessed by DeepSeek or Chinese government.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Self-host. Never send audit trail data through DeepSeek SaaS.</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AP-5: Training/Routing</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DeepSeek explicitly reserves right to train on customer content. Routing optimization data sent via SaaS would be used for DeepSeek model improvement.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Self-host to prevent data leakage.</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AP-6: Government/Sovereign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CRITICAL</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PRC jurisdiction is fundamentally incompatible with US GCC-High/IL5 sovereign deployments. ITAR/EAR restrictions prohibit PRC-domiciled services for controlled data.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ALREADY IMPLEMENTED in Build Plan v2.7. DeepSeek excluded from US sovereign deployments. Fallback: Llama-4 on Azure Foundry (primary), Mistral (secondary). Self-host under MIT license for non-sovereign workloads.</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AP-7: Benchmarking</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MINOR</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explicit benchmarking restriction. Self-hosted models can be benchmarked freely.</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AP-8: Open-Weight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DeepSeek-V3 source code is MIT licensed — one of the most permissive open-source licenses. Commercial use, modification, and redistribution fully permitted. No MAU threshold. No attribution requirement.</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AP-9: Healthcare/Water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explicit healthcare restriction in TOS, but PRC data sovereignty means health-adjacent data would be stored on Chinese servers. Problematic for US health data regulations.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Self-host for health-adjacent queries. Never route health data through SaaS.</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AP-10: White-Label</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attribution requirement in TOS. MIT license for open-weight has no attribution requirement beyond license notice in source code.</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§2.6 OpenAI (GPT) — S6 Execution Seat</w:t>
      </w:r>
    </w:p>
    <w:p>
      <w:pPr>
        <w:spacing w:after="120" w:before="60" w:line="360" w:lineRule="auto"/>
      </w:pPr>
      <w:r>
        <w:rPr>
          <w:rFonts w:ascii="Calibri" w:cs="Calibri" w:eastAsia="Calibri" w:hAnsi="Calibri"/>
          <w:b/>
          <w:bCs/>
          <w:i w:val="false"/>
          <w:iCs w:val="false"/>
          <w:strike w:val="false"/>
          <w:color w:val="000000"/>
          <w:sz w:val="22"/>
          <w:szCs w:val="22"/>
        </w:rPr>
        <w:t xml:space="preserve">TOS Version Analyzed:</w:t>
      </w:r>
      <w:r>
        <w:rPr>
          <w:rFonts w:ascii="Calibri" w:cs="Calibri" w:eastAsia="Calibri" w:hAnsi="Calibri"/>
          <w:b w:val="false"/>
          <w:bCs w:val="false"/>
          <w:i w:val="false"/>
          <w:iCs w:val="false"/>
          <w:strike w:val="false"/>
          <w:color w:val="000000"/>
          <w:sz w:val="22"/>
          <w:szCs w:val="22"/>
        </w:rPr>
        <w:t xml:space="preserve"> OpenAI Terms of Use (updated January 9, 2026), OpenAI Usage Policies (updated October 29, 2025), OpenAI Service Terms (updated January 9, 2026)</w:t>
      </w:r>
    </w:p>
    <w:p>
      <w:pPr>
        <w:spacing w:after="120" w:before="60" w:line="360" w:lineRule="auto"/>
      </w:pPr>
      <w:r>
        <w:rPr>
          <w:rFonts w:ascii="Calibri" w:cs="Calibri" w:eastAsia="Calibri" w:hAnsi="Calibri"/>
          <w:b/>
          <w:bCs/>
          <w:i w:val="false"/>
          <w:iCs w:val="false"/>
          <w:strike w:val="false"/>
          <w:color w:val="000000"/>
          <w:sz w:val="22"/>
          <w:szCs w:val="22"/>
        </w:rPr>
        <w:t xml:space="preserve">Key TOS Provisions: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Customer retains ownership of Input and owns Output — OpenAI assigns all right, title, and interest in Output to customer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"Use Output to develop models that compete with OpenAI" is explicitly prohibited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"Automatically or programmatically extract data or Output" is prohibited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May not reverse engineer, decompile, or discover source code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May not circumvent rate limits, restrictions, or safety mitigations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May not represent Output as human-generated when it is not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OpenAI provides IP indemnification for API customers (Service Terms)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High-stakes decisions in sensitive areas require human review</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Trade controls: may not be used in embargoed countries or for sanctioned persons</w:t>
      </w:r>
    </w:p>
    <w:p>
      <w:pPr>
        <w:spacing w:after="120" w:before="60" w:line="360" w:lineRule="auto"/>
      </w:pPr>
      <w:r>
        <w:rPr>
          <w:rFonts w:ascii="Calibri" w:cs="Calibri" w:eastAsia="Calibri" w:hAnsi="Calibri"/>
          <w:b/>
          <w:bCs/>
          <w:i w:val="false"/>
          <w:iCs w:val="false"/>
          <w:strike w:val="false"/>
          <w:color w:val="000000"/>
          <w:sz w:val="22"/>
          <w:szCs w:val="22"/>
        </w:rPr>
        <w:t xml:space="preserve">Conflict Analysis: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Pattern</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Rating</w:t>
            </w:r>
          </w:p>
        </w:tc>
        <w:tc>
          <w:tcPr>
            <w:tcW w:type="pct" w:w="7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Analysis</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AP-1: Multi-Model Routing</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CRITICAL</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"competing models" clause is the most direct threat. Element 145 routes queries across GPT AND Claude, Gemini, Grok, etc. OpenAI could argue that Element 145's routing intelligence constitutes a "competing" product. </w:t>
            </w:r>
            <w:r>
              <w:rPr>
                <w:rFonts w:ascii="Calibri" w:cs="Calibri" w:eastAsia="Calibri" w:hAnsi="Calibri"/>
                <w:b/>
                <w:bCs/>
                <w:i w:val="false"/>
                <w:iCs w:val="false"/>
                <w:strike w:val="false"/>
                <w:color w:val="000000"/>
                <w:sz w:val="22"/>
                <w:szCs w:val="22"/>
              </w:rPr>
              <w:t xml:space="preserve">Mitigation (primary):</w:t>
            </w:r>
            <w:r>
              <w:rPr>
                <w:rFonts w:ascii="Calibri" w:cs="Calibri" w:eastAsia="Calibri" w:hAnsi="Calibri"/>
                <w:b w:val="false"/>
                <w:bCs w:val="false"/>
                <w:i w:val="false"/>
                <w:iCs w:val="false"/>
                <w:strike w:val="false"/>
                <w:color w:val="000000"/>
                <w:sz w:val="22"/>
                <w:szCs w:val="22"/>
              </w:rPr>
              <w:t xml:space="preserve"> Use Azure OpenAI instead of direct OpenAI API — the "competing models" restriction does NOT apply. </w:t>
            </w:r>
            <w:r>
              <w:rPr>
                <w:rFonts w:ascii="Calibri" w:cs="Calibri" w:eastAsia="Calibri" w:hAnsi="Calibri"/>
                <w:b/>
                <w:bCs/>
                <w:i w:val="false"/>
                <w:iCs w:val="false"/>
                <w:strike w:val="false"/>
                <w:color w:val="000000"/>
                <w:sz w:val="22"/>
                <w:szCs w:val="22"/>
              </w:rPr>
              <w:t xml:space="preserve">Mitigation (secondary):</w:t>
            </w:r>
            <w:r>
              <w:rPr>
                <w:rFonts w:ascii="Calibri" w:cs="Calibri" w:eastAsia="Calibri" w:hAnsi="Calibri"/>
                <w:b w:val="false"/>
                <w:bCs w:val="false"/>
                <w:i w:val="false"/>
                <w:iCs w:val="false"/>
                <w:strike w:val="false"/>
                <w:color w:val="000000"/>
                <w:sz w:val="22"/>
                <w:szCs w:val="22"/>
              </w:rPr>
              <w:t xml:space="preserve"> Element 145 is a routing substrate, not a model. Legal argument that routing ≠ model development. </w:t>
            </w:r>
            <w:r>
              <w:rPr>
                <w:rFonts w:ascii="Calibri" w:cs="Calibri" w:eastAsia="Calibri" w:hAnsi="Calibri"/>
                <w:b/>
                <w:bCs/>
                <w:i w:val="false"/>
                <w:iCs w:val="false"/>
                <w:strike w:val="false"/>
                <w:color w:val="000000"/>
                <w:sz w:val="22"/>
                <w:szCs w:val="22"/>
              </w:rPr>
              <w:t xml:space="preserve">Mitigation (tertiary):</w:t>
            </w:r>
            <w:r>
              <w:rPr>
                <w:rFonts w:ascii="Calibri" w:cs="Calibri" w:eastAsia="Calibri" w:hAnsi="Calibri"/>
                <w:b w:val="false"/>
                <w:bCs w:val="false"/>
                <w:i w:val="false"/>
                <w:iCs w:val="false"/>
                <w:strike w:val="false"/>
                <w:color w:val="000000"/>
                <w:sz w:val="22"/>
                <w:szCs w:val="22"/>
              </w:rPr>
              <w:t xml:space="preserve"> Enterprise agreements may negotiate this clause out.</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AP-2: Output Chaining</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Output ownership is assigned to customer, so using outputs freely should be permitted. However, the "automatically or programmatically extract data or Output" clause could prohibit systematic collection of GPT outputs for cross-model analysis.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Use Azure OpenAI (different terms). If using direct API, frame output collection as standard API usage, not "extraction."</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AP-3: Constitutional Governance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OpenAI requires human review for high-stakes decisions in critical infrastructure and government services. ORCS civic infrastructure decisions would trigger this.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Convenor authority + human-in-the-loop governance satisfies this. Document oversight chain.</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AP-4: Audit Logging</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CRITICAL</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"Automatically or programmatically extract data or Output" prohibition directly conflicts with GoldenTrace's automated SHA-256 hashing and storage of every model output. </w:t>
            </w:r>
            <w:r>
              <w:rPr>
                <w:rFonts w:ascii="Calibri" w:cs="Calibri" w:eastAsia="Calibri" w:hAnsi="Calibri"/>
                <w:b/>
                <w:bCs/>
                <w:i w:val="false"/>
                <w:iCs w:val="false"/>
                <w:strike w:val="false"/>
                <w:color w:val="000000"/>
                <w:sz w:val="22"/>
                <w:szCs w:val="22"/>
              </w:rPr>
              <w:t xml:space="preserve">Mitigation (primary):</w:t>
            </w:r>
            <w:r>
              <w:rPr>
                <w:rFonts w:ascii="Calibri" w:cs="Calibri" w:eastAsia="Calibri" w:hAnsi="Calibri"/>
                <w:b w:val="false"/>
                <w:bCs w:val="false"/>
                <w:i w:val="false"/>
                <w:iCs w:val="false"/>
                <w:strike w:val="false"/>
                <w:color w:val="000000"/>
                <w:sz w:val="22"/>
                <w:szCs w:val="22"/>
              </w:rPr>
              <w:t xml:space="preserve"> Use Azure OpenAI — no such restriction. </w:t>
            </w:r>
            <w:r>
              <w:rPr>
                <w:rFonts w:ascii="Calibri" w:cs="Calibri" w:eastAsia="Calibri" w:hAnsi="Calibri"/>
                <w:b/>
                <w:bCs/>
                <w:i w:val="false"/>
                <w:iCs w:val="false"/>
                <w:strike w:val="false"/>
                <w:color w:val="000000"/>
                <w:sz w:val="22"/>
                <w:szCs w:val="22"/>
              </w:rPr>
              <w:t xml:space="preserve">Mitigation (secondary):</w:t>
            </w:r>
            <w:r>
              <w:rPr>
                <w:rFonts w:ascii="Calibri" w:cs="Calibri" w:eastAsia="Calibri" w:hAnsi="Calibri"/>
                <w:b w:val="false"/>
                <w:bCs w:val="false"/>
                <w:i w:val="false"/>
                <w:iCs w:val="false"/>
                <w:strike w:val="false"/>
                <w:color w:val="000000"/>
                <w:sz w:val="22"/>
                <w:szCs w:val="22"/>
              </w:rPr>
              <w:t xml:space="preserve"> This clause likely targets scraping, not standard API logging. Every API application programmatically receives outputs. Enterprise agreement should clarify.</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AP-5: Training/Routing</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CRITICAL</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"Use Output to develop models that compete with OpenAI" — if routing optimization uses GPT output quality metrics to improve Element 145's routing decisions, this could constitute "developing" a competing intelligence.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Azure OpenAI avoids this entirely. For direct API, frame as "service quality management" not "model development."</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AP-6: Government/Sovereign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High-stakes government decisions require human review. OpenAI does not have the same sovereign cloud offerings as Microsoft Azure.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Use Azure OpenAI for government deployments (FedRAMP-authorized environment).</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AP-7: Benchmarking</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"Competing models" clause could extend to comparative benchmarking that informs routing decisions.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Azure OpenAI. For direct API, benchmark internally without publishing comparative data.</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AP-8: Open-Weight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 — GPT is not open-weight.</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AP-9: Healthcare/Water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OpenAI requires human review for healthcare decisions. ChatGPT for Healthcare has specific restrictions.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Implement human-in-the-loop for all health-adjacent ORCS queries. Consider Azure OpenAI with HIPAA BAA.</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AP-10: White-Label</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MINOR</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"Represent that Output was human-generated when it was not" is prohibited. Customer owns outputs but must disclose AI generation.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TransparencyPacket metadata. AI-generation disclosure in Noosphere Console.</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§2.7 Meta (Llama) — Open-Weight Models in Routing</w:t>
      </w:r>
    </w:p>
    <w:p>
      <w:pPr>
        <w:spacing w:after="120" w:before="60" w:line="360" w:lineRule="auto"/>
      </w:pPr>
      <w:r>
        <w:rPr>
          <w:rFonts w:ascii="Calibri" w:cs="Calibri" w:eastAsia="Calibri" w:hAnsi="Calibri"/>
          <w:b/>
          <w:bCs/>
          <w:i w:val="false"/>
          <w:iCs w:val="false"/>
          <w:strike w:val="false"/>
          <w:color w:val="000000"/>
          <w:sz w:val="22"/>
          <w:szCs w:val="22"/>
        </w:rPr>
        <w:t xml:space="preserve">TOS Version Analyzed:</w:t>
      </w:r>
      <w:r>
        <w:rPr>
          <w:rFonts w:ascii="Calibri" w:cs="Calibri" w:eastAsia="Calibri" w:hAnsi="Calibri"/>
          <w:b w:val="false"/>
          <w:bCs w:val="false"/>
          <w:i w:val="false"/>
          <w:iCs w:val="false"/>
          <w:strike w:val="false"/>
          <w:color w:val="000000"/>
          <w:sz w:val="22"/>
          <w:szCs w:val="22"/>
        </w:rPr>
        <w:t xml:space="preserve"> Llama 4 Community License Agreement (2025), Llama 4 Acceptable Use Policy</w:t>
      </w:r>
    </w:p>
    <w:p>
      <w:pPr>
        <w:spacing w:after="120" w:before="60" w:line="360" w:lineRule="auto"/>
      </w:pPr>
      <w:r>
        <w:rPr>
          <w:rFonts w:ascii="Calibri" w:cs="Calibri" w:eastAsia="Calibri" w:hAnsi="Calibri"/>
          <w:b/>
          <w:bCs/>
          <w:i w:val="false"/>
          <w:iCs w:val="false"/>
          <w:strike w:val="false"/>
          <w:color w:val="000000"/>
          <w:sz w:val="22"/>
          <w:szCs w:val="22"/>
        </w:rPr>
        <w:t xml:space="preserve">Key TOS Provisions: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Non-exclusive, worldwide, non-transferable, royalty-free license to use, reproduce, distribute, copy, create derivative works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700 million MAU threshold:</w:t>
      </w:r>
      <w:r>
        <w:rPr>
          <w:rFonts w:ascii="Calibri" w:cs="Calibri" w:eastAsia="Calibri" w:hAnsi="Calibri"/>
          <w:b w:val="false"/>
          <w:bCs w:val="false"/>
          <w:i w:val="false"/>
          <w:iCs w:val="false"/>
          <w:strike w:val="false"/>
          <w:color w:val="000000"/>
          <w:sz w:val="22"/>
          <w:szCs w:val="22"/>
        </w:rPr>
        <w:t xml:space="preserve"> If licensee has &gt;700M MAU, must request separate license from Meta (which Meta may grant "in its sole discretion")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Must include "Llama" at beginning of any AI model name using Llama Materials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Must retain attribution notice: "Llama 4 is licensed under the Llama 4 Community License"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Derivative works owned by licensee (subject to Meta's ownership of original Llama Materials)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Patent license terminates if licensee sues Meta for IP infringement related to Llama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Trade compliance (export controls) required</w:t>
      </w:r>
    </w:p>
    <w:p>
      <w:pPr>
        <w:spacing w:after="120" w:before="60" w:line="360" w:lineRule="auto"/>
      </w:pPr>
      <w:r>
        <w:rPr>
          <w:rFonts w:ascii="Calibri" w:cs="Calibri" w:eastAsia="Calibri" w:hAnsi="Calibri"/>
          <w:b/>
          <w:bCs/>
          <w:i w:val="false"/>
          <w:iCs w:val="false"/>
          <w:strike w:val="false"/>
          <w:color w:val="000000"/>
          <w:sz w:val="22"/>
          <w:szCs w:val="22"/>
        </w:rPr>
        <w:t xml:space="preserve">Conflict Analysis: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Pattern</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Rating</w:t>
            </w:r>
          </w:p>
        </w:tc>
        <w:tc>
          <w:tcPr>
            <w:tcW w:type="pct" w:w="7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Analysis</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AP-1: Multi-Model Routing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restriction on using Llama in multi-model routing. Open-weight license explicitly permits integration into larger systems.</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AP-2: Output Chaining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restriction on output chaining. Licensee owns derivative works.</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AP-3: Constitutional Governance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prohibition on governance use. Licensee has broad usage rights.</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AP-4: Audit Logging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restriction on logging outputs. Self-hosted — full control.</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AP-5: Training/Routing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Can freely use Llama outputs for routing optimization. Derivative works owned by licensee.</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AP-6: Government/Sovereign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MINOR</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Trade compliance required. Self-hosted on US infrastructure avoids foreign jurisdiction concerns. Llama is the designated primary Western-model fallback for DeepSeek exclusion in GCC-High.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Host on Azure Foundry (FedRAMP-authorized).</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AP-7: Benchmarking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benchmarking restrictions.</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AP-8: Open-Weight Licensing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w:t>
            </w:r>
          </w:p>
        </w:tc>
        <w:tc>
          <w:tcPr>
            <w:tcW w:type="pct" w:w="7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700M MAU threshold</w:t>
            </w:r>
            <w:r>
              <w:rPr>
                <w:rFonts w:ascii="Calibri" w:cs="Calibri" w:eastAsia="Calibri" w:hAnsi="Calibri"/>
                <w:b w:val="false"/>
                <w:bCs w:val="false"/>
                <w:i w:val="false"/>
                <w:iCs w:val="false"/>
                <w:strike w:val="false"/>
                <w:color w:val="000000"/>
                <w:sz w:val="22"/>
                <w:szCs w:val="22"/>
              </w:rPr>
              <w:t xml:space="preserve"> — if Atlas Lattice reaches civic hyperscale (Tier 3), combined MAU across all deployments could approach this threshold. Meta grants the additional license "in its sole discretion."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Monitor MAU carefully. Negotiate enterprise license with Meta proactively. The 700M threshold applies to licensee's total product MAU, not just Llama-specific usage.</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AP-8 (cont): Naming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MINOR</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Must include "Llama" in any AI model name using Llama Materials. If Atlas Lattice creates fine-tuned Llama derivatives, those must include "Llama" in the name (e.g., "Llama-Atlas" or "Llama-Constitutional"). Element 145 routes to Llama but doesn't create a new model.</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AP-9: Healthcare/Water</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MINOR</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Acceptable Use Policy includes standard harmful content restrictions. No explicit healthcare prohibition for self-hosted deployment.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Human-in-the-loop for health-adjacent queries as best practice.</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AP-10: White-Label</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Attribution notice required in source distribution. Brand guidelines must be followed. Individual outputs do not require per-output attribution, but the underlying source code must retain attribution.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Include Llama attribution in system documentation and TransparencyPacket. Individual outputs can be white-labeled.</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§2.8 Amazon/AWS (Bedrock) — Infrastructure Provider</w:t>
      </w:r>
    </w:p>
    <w:p>
      <w:pPr>
        <w:spacing w:after="120" w:before="60" w:line="360" w:lineRule="auto"/>
      </w:pPr>
      <w:r>
        <w:rPr>
          <w:rFonts w:ascii="Calibri" w:cs="Calibri" w:eastAsia="Calibri" w:hAnsi="Calibri"/>
          <w:b/>
          <w:bCs/>
          <w:i w:val="false"/>
          <w:iCs w:val="false"/>
          <w:strike w:val="false"/>
          <w:color w:val="000000"/>
          <w:sz w:val="22"/>
          <w:szCs w:val="22"/>
        </w:rPr>
        <w:t xml:space="preserve">TOS Version Analyzed:</w:t>
      </w:r>
      <w:r>
        <w:rPr>
          <w:rFonts w:ascii="Calibri" w:cs="Calibri" w:eastAsia="Calibri" w:hAnsi="Calibri"/>
          <w:b w:val="false"/>
          <w:bCs w:val="false"/>
          <w:i w:val="false"/>
          <w:iCs w:val="false"/>
          <w:strike w:val="false"/>
          <w:color w:val="000000"/>
          <w:sz w:val="22"/>
          <w:szCs w:val="22"/>
        </w:rPr>
        <w:t xml:space="preserve"> AWS Service Terms (2025), AWS Acceptable Use Policy, Amazon Bedrock model EULAs</w:t>
      </w:r>
    </w:p>
    <w:p>
      <w:pPr>
        <w:spacing w:after="120" w:before="60" w:line="360" w:lineRule="auto"/>
      </w:pPr>
      <w:r>
        <w:rPr>
          <w:rFonts w:ascii="Calibri" w:cs="Calibri" w:eastAsia="Calibri" w:hAnsi="Calibri"/>
          <w:b/>
          <w:bCs/>
          <w:i w:val="false"/>
          <w:iCs w:val="false"/>
          <w:strike w:val="false"/>
          <w:color w:val="000000"/>
          <w:sz w:val="22"/>
          <w:szCs w:val="22"/>
        </w:rPr>
        <w:t xml:space="preserve">Key TOS Provisions: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AWS Service Terms govern infrastructure; individual model EULAs govern model-specific restrictions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Customer retains ownership of content; AWS does not use customer content for model training without consent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Amazon Bedrock supports multi-model routing natively (Prompt Routing feature)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FedRAMP-authorized regions available (GovCloud)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AWS provides BAA for HIPAA-covered workloads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Individual model providers may have additional restrictions via their EULAs</w:t>
      </w:r>
    </w:p>
    <w:p>
      <w:pPr>
        <w:spacing w:after="120" w:before="60" w:line="360" w:lineRule="auto"/>
      </w:pPr>
      <w:r>
        <w:rPr>
          <w:rFonts w:ascii="Calibri" w:cs="Calibri" w:eastAsia="Calibri" w:hAnsi="Calibri"/>
          <w:b/>
          <w:bCs/>
          <w:i w:val="false"/>
          <w:iCs w:val="false"/>
          <w:strike w:val="false"/>
          <w:color w:val="000000"/>
          <w:sz w:val="22"/>
          <w:szCs w:val="22"/>
        </w:rPr>
        <w:t xml:space="preserve">Conflict Analysis: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Pattern</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Rating</w:t>
            </w:r>
          </w:p>
        </w:tc>
        <w:tc>
          <w:tcPr>
            <w:tcW w:type="pct" w:w="7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Analysis</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AP-1: Multi-Model Routing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Amazon Bedrock's own Prompt Routing feature explicitly supports multi-model routing. This IS AWS's business model. Atlas Lattice's Element 145 pattern is directly aligned.</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AP-2: Output Chaining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restriction. Bedrock Flows explicitly supports chaining model outputs.</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AP-3: Constitutional Governance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MINOR</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Standard AWS AUP applies. No specific governance restriction.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Human oversight for consequential decisions per AWS best practices.</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AP-4: Audit Logging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AWS CloudTrail and CloudWatch provide native audit logging. No restriction on customer-implemented logging.</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AP-5: Training/Routing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AWS does not train on customer content. Routing optimization is a core Bedrock feature.</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AP-6: Government/Sovereign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AWS GovCloud (FedRAMP High, IL5). Amazon Bedrock available in GovCloud regions.</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AP-7: Benchmarking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Amazon Bedrock Evaluation feature provides native model benchmarking tools.</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AP-8: Open-Weight</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 — AWS hosts open-weight models under their respective licenses.</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AP-9: Healthcare/Water</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AWS offers HIPAA BAA. Amazon Bedrock available for healthcare workloads with appropriate compliance configurations.</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AP-10: White-Label</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attribution requirement from AWS. Individual model EULAs may have requirements (check per-model).</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Important Note on AWS/Bedrock</w:t>
            </w:r>
          </w:p>
          <w:p>
            <w:pPr>
              <w:spacing w:after="120" w:line="360" w:lineRule="auto"/>
            </w:pPr>
            <w:r>
              <w:rPr>
                <w:rFonts w:ascii="Calibri" w:cs="Calibri" w:eastAsia="Calibri" w:hAnsi="Calibri"/>
                <w:b w:val="false"/>
                <w:bCs w:val="false"/>
                <w:i w:val="false"/>
                <w:iCs w:val="false"/>
                <w:strike w:val="false"/>
                <w:color w:val="000000"/>
                <w:sz w:val="22"/>
                <w:szCs w:val="22"/>
              </w:rPr>
              <w:t xml:space="preserve">AWS/Bedrock is the cleanest provider from a TOS perspective for Atlas Lattice. However, individual MODEL EULAs accessed through Bedrock carry their own restrictions (e.g., Anthropic's "competing product" clause still applies to Claude accessed via Bedrock). AWS terms layer ON TOP of, not in place of, model provider terms.</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§2.9 Notion — S8 Workspace</w:t>
      </w:r>
    </w:p>
    <w:p>
      <w:pPr>
        <w:spacing w:after="120" w:before="60" w:line="360" w:lineRule="auto"/>
      </w:pPr>
      <w:r>
        <w:rPr>
          <w:rFonts w:ascii="Calibri" w:cs="Calibri" w:eastAsia="Calibri" w:hAnsi="Calibri"/>
          <w:b/>
          <w:bCs/>
          <w:i w:val="false"/>
          <w:iCs w:val="false"/>
          <w:strike w:val="false"/>
          <w:color w:val="000000"/>
          <w:sz w:val="22"/>
          <w:szCs w:val="22"/>
        </w:rPr>
        <w:t xml:space="preserve">TOS Version Analyzed:</w:t>
      </w:r>
      <w:r>
        <w:rPr>
          <w:rFonts w:ascii="Calibri" w:cs="Calibri" w:eastAsia="Calibri" w:hAnsi="Calibri"/>
          <w:b w:val="false"/>
          <w:bCs w:val="false"/>
          <w:i w:val="false"/>
          <w:iCs w:val="false"/>
          <w:strike w:val="false"/>
          <w:color w:val="000000"/>
          <w:sz w:val="22"/>
          <w:szCs w:val="22"/>
        </w:rPr>
        <w:t xml:space="preserve"> Notion Terms of Service (December 2025), Notion Privacy Policy</w:t>
      </w:r>
    </w:p>
    <w:p>
      <w:pPr>
        <w:spacing w:after="120" w:before="60" w:line="360" w:lineRule="auto"/>
      </w:pPr>
      <w:r>
        <w:rPr>
          <w:rFonts w:ascii="Calibri" w:cs="Calibri" w:eastAsia="Calibri" w:hAnsi="Calibri"/>
          <w:b/>
          <w:bCs/>
          <w:i w:val="false"/>
          <w:iCs w:val="false"/>
          <w:strike w:val="false"/>
          <w:color w:val="000000"/>
          <w:sz w:val="22"/>
          <w:szCs w:val="22"/>
        </w:rPr>
        <w:t xml:space="preserve">Key TOS Provisions: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Notion may use workspace content to improve Notion AI features (including AI training)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Enterprise customers can request data processing restrictions (opt-out of AI training)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Personal/Team plans have limited control over AI data use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Notion can modify, add, or remove features at any time without guaranteed notice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Third-party integration data flows through Notion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Limited data export window after account termination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SOC 2 Type II, ISO 27001, HIPAA compliance available</w:t>
      </w:r>
    </w:p>
    <w:p>
      <w:pPr>
        <w:spacing w:after="120" w:before="60" w:line="360" w:lineRule="auto"/>
      </w:pPr>
      <w:r>
        <w:rPr>
          <w:rFonts w:ascii="Calibri" w:cs="Calibri" w:eastAsia="Calibri" w:hAnsi="Calibri"/>
          <w:b/>
          <w:bCs/>
          <w:i w:val="false"/>
          <w:iCs w:val="false"/>
          <w:strike w:val="false"/>
          <w:color w:val="000000"/>
          <w:sz w:val="22"/>
          <w:szCs w:val="22"/>
        </w:rPr>
        <w:t xml:space="preserve">Conflict Analysis: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Pattern</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Rating</w:t>
            </w:r>
          </w:p>
        </w:tc>
        <w:tc>
          <w:tcPr>
            <w:tcW w:type="pct" w:w="7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Analysis</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AP-1: Multi-Model Routing</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Notion is a workspace tool, not a model provider. Not directly involved in Element 145 routing.</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AP-2: Output Chaining</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MINOR</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Notion AI outputs may be used as inputs to other systems. No explicit restriction.</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AP-3: Constitutional Governance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Notion serves as workspace/documentation platform. No governance restriction.</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AP-4: Audit Logging</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Notion's AI training on workspace data means that GoldenTrace audit records stored in Notion could be used for Notion AI training. Could leak constitutional governance deliberations.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Enterprise plan with data processing opt-out. Store GoldenTrace records in a dedicated audit system, not Notion. Use Notion only for human-readable dashboards.</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AP-5: Training/Routing</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CRITICAL</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Notion's broad AI training rights on workspace content mean that ALL Atlas Lattice governance data stored in Notion (doctrines, invariants, Council deliberations, routing decisions) could be used to train Notion AI. This is a direct violation of ConsentKernel principles — data leaving the constitutional governance boundary without explicit consent. </w:t>
            </w:r>
            <w:r>
              <w:rPr>
                <w:rFonts w:ascii="Calibri" w:cs="Calibri" w:eastAsia="Calibri" w:hAnsi="Calibri"/>
                <w:b/>
                <w:bCs/>
                <w:i w:val="false"/>
                <w:iCs w:val="false"/>
                <w:strike w:val="false"/>
                <w:color w:val="000000"/>
                <w:sz w:val="22"/>
                <w:szCs w:val="22"/>
              </w:rPr>
              <w:t xml:space="preserve">Mitigation (required):</w:t>
            </w:r>
            <w:r>
              <w:rPr>
                <w:rFonts w:ascii="Calibri" w:cs="Calibri" w:eastAsia="Calibri" w:hAnsi="Calibri"/>
                <w:b w:val="false"/>
                <w:bCs w:val="false"/>
                <w:i w:val="false"/>
                <w:iCs w:val="false"/>
                <w:strike w:val="false"/>
                <w:color w:val="000000"/>
                <w:sz w:val="22"/>
                <w:szCs w:val="22"/>
              </w:rPr>
              <w:t xml:space="preserve"> Enterprise plan with explicit AI training opt-out. Non-negotiable for canonical workspace. Verify opt-out is in place and auditable.</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AP-6: Government/Sovereign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Notion does not have FedRAMP authorization for US government use. ORCS Indiana government data should not be stored in Notion.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Do not store ORCS government data in Notion. Use for non-classified project management only.</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AP-7: Benchmarking</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AP-8: Open-Weight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AP-9: Healthcare/Water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Notion offers HIPAA compliance, but AI training on workspace data could process health-adjacent data.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Enterprise plan with AI training opt-out. Do not store raw health/water quality data in Notion.</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AP-10: White-Label</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 — Notion is an internal workspace tool, not a consumer-facing output channel.</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§2.10 Alibaba/Qwen — Qwen3 Models in Federation</w:t>
      </w:r>
    </w:p>
    <w:p>
      <w:pPr>
        <w:spacing w:after="120" w:before="60" w:line="360" w:lineRule="auto"/>
      </w:pPr>
      <w:r>
        <w:rPr>
          <w:rFonts w:ascii="Calibri" w:cs="Calibri" w:eastAsia="Calibri" w:hAnsi="Calibri"/>
          <w:b/>
          <w:bCs/>
          <w:i w:val="false"/>
          <w:iCs w:val="false"/>
          <w:strike w:val="false"/>
          <w:color w:val="000000"/>
          <w:sz w:val="22"/>
          <w:szCs w:val="22"/>
        </w:rPr>
        <w:t xml:space="preserve">TOS Version Analyzed:</w:t>
      </w:r>
      <w:r>
        <w:rPr>
          <w:rFonts w:ascii="Calibri" w:cs="Calibri" w:eastAsia="Calibri" w:hAnsi="Calibri"/>
          <w:b w:val="false"/>
          <w:bCs w:val="false"/>
          <w:i w:val="false"/>
          <w:iCs w:val="false"/>
          <w:strike w:val="false"/>
          <w:color w:val="000000"/>
          <w:sz w:val="22"/>
          <w:szCs w:val="22"/>
        </w:rPr>
        <w:t xml:space="preserve"> Qwen License Agreement (2025), Apache License 2.0 (for smaller models)</w:t>
      </w:r>
    </w:p>
    <w:p>
      <w:pPr>
        <w:spacing w:after="120" w:before="60" w:line="360" w:lineRule="auto"/>
      </w:pPr>
      <w:r>
        <w:rPr>
          <w:rFonts w:ascii="Calibri" w:cs="Calibri" w:eastAsia="Calibri" w:hAnsi="Calibri"/>
          <w:b/>
          <w:bCs/>
          <w:i w:val="false"/>
          <w:iCs w:val="false"/>
          <w:strike w:val="false"/>
          <w:color w:val="000000"/>
          <w:sz w:val="22"/>
          <w:szCs w:val="22"/>
        </w:rPr>
        <w:t xml:space="preserve">Key TOS Provisions: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Smaller models (3B, 7B, 32B): Apache License 2.0 — maximally permissive, commercial use, modification, redistribution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72B model: Custom Qwen License with 100M MAU threshold</w:t>
      </w:r>
      <w:r>
        <w:rPr>
          <w:rFonts w:ascii="Calibri" w:cs="Calibri" w:eastAsia="Calibri" w:hAnsi="Calibri"/>
          <w:b w:val="false"/>
          <w:bCs w:val="false"/>
          <w:i w:val="false"/>
          <w:iCs w:val="false"/>
          <w:strike w:val="false"/>
          <w:color w:val="000000"/>
          <w:sz w:val="22"/>
          <w:szCs w:val="22"/>
        </w:rPr>
        <w:t xml:space="preserve"> — must request license from Alibaba if &gt;100M MAU</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Must display "Built with Qwen" or "Improved using Qwen" when using Materials to create/train/fine-tune distributed AI models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Alibaba retains ownership of all IP in original Materials; derivative works owned by licensee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Must comply with export controls (China + US mentioned)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Patent license terminates if licensee sues Alibaba for Qwen-related IP</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PRC legal framework applies (same jurisdiction concerns as DeepSeek for SaaS, but self-hosted open-weight avoids this)</w:t>
      </w:r>
    </w:p>
    <w:p>
      <w:pPr>
        <w:spacing w:after="120" w:before="60" w:line="360" w:lineRule="auto"/>
      </w:pPr>
      <w:r>
        <w:rPr>
          <w:rFonts w:ascii="Calibri" w:cs="Calibri" w:eastAsia="Calibri" w:hAnsi="Calibri"/>
          <w:b/>
          <w:bCs/>
          <w:i w:val="false"/>
          <w:iCs w:val="false"/>
          <w:strike w:val="false"/>
          <w:color w:val="000000"/>
          <w:sz w:val="22"/>
          <w:szCs w:val="22"/>
        </w:rPr>
        <w:t xml:space="preserve">Conflict Analysis: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Pattern</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Rating</w:t>
            </w:r>
          </w:p>
        </w:tc>
        <w:tc>
          <w:tcPr>
            <w:tcW w:type="pct" w:w="7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Analysis</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AP-1: Multi-Model Routing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Open-weight models can be freely integrated into multi-model routing. Self-hosted — no SaaS TOS applies.</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AP-2: Output Chaining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restriction on output chaining for self-hosted models.</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AP-3: Constitutional Governance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 (self-hosted)</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Self-hosted models under Apache 2.0 / Qwen License have no content restrictions. SaaS would carry PRC concerns similar to DeepSeek.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Self-host only.</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AP-4: Audit Logging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Self-hosted — full control over logging.</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AP-5: Training/Routing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Can freely use Qwen outputs for routing optimization. Derivative works owned by licensee.</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AP-6: Government/Sovereign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Same PRC-origin concern as DeepSeek. While the models are open-weight and can be self-hosted on US infrastructure, government procurement rules may prohibit PRC-origin AI models in sensitive deployments.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Already addressed in Build Plan v2.7 Western-model fallback chain. Qwen excluded from GCC-High/IL5 alongside DeepSeek.</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AP-7: Benchmarking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benchmarking restrictions.</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AP-8: Open-Weight Licensing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w:t>
            </w:r>
          </w:p>
        </w:tc>
        <w:tc>
          <w:tcPr>
            <w:tcW w:type="pct" w:w="7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100M MAU threshold for 72B model</w:t>
            </w:r>
            <w:r>
              <w:rPr>
                <w:rFonts w:ascii="Calibri" w:cs="Calibri" w:eastAsia="Calibri" w:hAnsi="Calibri"/>
                <w:b w:val="false"/>
                <w:bCs w:val="false"/>
                <w:i w:val="false"/>
                <w:iCs w:val="false"/>
                <w:strike w:val="false"/>
                <w:color w:val="000000"/>
                <w:sz w:val="22"/>
                <w:szCs w:val="22"/>
              </w:rPr>
              <w:t xml:space="preserve"> — lower than Meta's 700M, reached sooner at Tier 2–3 scale. Apache 2.0 models (≤32B) have no MAU threshold.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Use Apache 2.0 licensed models (≤32B) for production at scale. Negotiate enterprise license for 72B proactively if performance requires it.</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AP-8 (cont): Attribution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Must display "Built with Qwen" or "Improved using Qwen" when creating distributed AI models using Qwen Materials.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Include Qwen attribution in system documentation and TransparencyPacket metadata.</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AP-9: Healthcare/Water</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 (self-hosted)</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Self-hosted under open license — no healthcare restriction. Standard liability disclaimers apply.</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AP-10: White-Label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"Built with Qwen" attribution required for distributed derivative models. Individual outputs do not require per-output attribution, but the system needs Qwen acknowledgment. </w:t>
            </w:r>
            <w:r>
              <w:rPr>
                <w:rFonts w:ascii="Calibri" w:cs="Calibri" w:eastAsia="Calibri" w:hAnsi="Calibri"/>
                <w:b/>
                <w:bCs/>
                <w:i w:val="false"/>
                <w:iCs w:val="false"/>
                <w:strike w:val="false"/>
                <w:color w:val="000000"/>
                <w:sz w:val="22"/>
                <w:szCs w:val="22"/>
              </w:rPr>
              <w:t xml:space="preserve">Mitigation:</w:t>
            </w:r>
            <w:r>
              <w:rPr>
                <w:rFonts w:ascii="Calibri" w:cs="Calibri" w:eastAsia="Calibri" w:hAnsi="Calibri"/>
                <w:b w:val="false"/>
                <w:bCs w:val="false"/>
                <w:i w:val="false"/>
                <w:iCs w:val="false"/>
                <w:strike w:val="false"/>
                <w:color w:val="000000"/>
                <w:sz w:val="22"/>
                <w:szCs w:val="22"/>
              </w:rPr>
              <w:t xml:space="preserve"> System-level attribution in documentation. Per-output white-labeling permitted.</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§3 Cross-Reference Matrix — 10 Providers × 10 Patterns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Master conflict matrix. Each cell represents the TOS risk rating for the intersection of a provider (row) and an architectural pattern (column). Ratings: 🔴 CRITICAL | 🟡 SIGNIFICANT | 🟢 MINOR | ⬜ CLEAR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gridCol w:w="100"/>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Provider</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AP-1</w:t>
            </w:r>
            <w:r>
              <w:rPr>
                <w:rFonts w:ascii="Calibri" w:cs="Calibri" w:eastAsia="Calibri" w:hAnsi="Calibri"/>
                <w:b/>
                <w:bCs/>
                <w:i w:val="false"/>
                <w:iCs w:val="false"/>
                <w:color w:val="000000"/>
                <w:sz w:val="18"/>
                <w:szCs w:val="18"/>
              </w:rPr>
              <w:t xml:space="preserve">
</w:t>
            </w:r>
            <w:r>
              <w:rPr>
                <w:rFonts w:ascii="Calibri" w:cs="Calibri" w:eastAsia="Calibri" w:hAnsi="Calibri"/>
                <w:b/>
                <w:bCs/>
                <w:i w:val="false"/>
                <w:iCs w:val="false"/>
                <w:strike w:val="false"/>
                <w:color w:val="000000"/>
                <w:sz w:val="18"/>
                <w:szCs w:val="18"/>
              </w:rPr>
              <w:t xml:space="preserve">Routing</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AP-2</w:t>
            </w:r>
            <w:r>
              <w:rPr>
                <w:rFonts w:ascii="Calibri" w:cs="Calibri" w:eastAsia="Calibri" w:hAnsi="Calibri"/>
                <w:b/>
                <w:bCs/>
                <w:i w:val="false"/>
                <w:iCs w:val="false"/>
                <w:color w:val="000000"/>
                <w:sz w:val="18"/>
                <w:szCs w:val="18"/>
              </w:rPr>
              <w:t xml:space="preserve">
</w:t>
            </w:r>
            <w:r>
              <w:rPr>
                <w:rFonts w:ascii="Calibri" w:cs="Calibri" w:eastAsia="Calibri" w:hAnsi="Calibri"/>
                <w:b/>
                <w:bCs/>
                <w:i w:val="false"/>
                <w:iCs w:val="false"/>
                <w:strike w:val="false"/>
                <w:color w:val="000000"/>
                <w:sz w:val="18"/>
                <w:szCs w:val="18"/>
              </w:rPr>
              <w:t xml:space="preserve">Chaining</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AP-3</w:t>
            </w:r>
            <w:r>
              <w:rPr>
                <w:rFonts w:ascii="Calibri" w:cs="Calibri" w:eastAsia="Calibri" w:hAnsi="Calibri"/>
                <w:b/>
                <w:bCs/>
                <w:i w:val="false"/>
                <w:iCs w:val="false"/>
                <w:color w:val="000000"/>
                <w:sz w:val="18"/>
                <w:szCs w:val="18"/>
              </w:rPr>
              <w:t xml:space="preserve">
</w:t>
            </w:r>
            <w:r>
              <w:rPr>
                <w:rFonts w:ascii="Calibri" w:cs="Calibri" w:eastAsia="Calibri" w:hAnsi="Calibri"/>
                <w:b/>
                <w:bCs/>
                <w:i w:val="false"/>
                <w:iCs w:val="false"/>
                <w:strike w:val="false"/>
                <w:color w:val="000000"/>
                <w:sz w:val="18"/>
                <w:szCs w:val="18"/>
              </w:rPr>
              <w:t xml:space="preserve">Gov Role</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AP-4</w:t>
            </w:r>
            <w:r>
              <w:rPr>
                <w:rFonts w:ascii="Calibri" w:cs="Calibri" w:eastAsia="Calibri" w:hAnsi="Calibri"/>
                <w:b/>
                <w:bCs/>
                <w:i w:val="false"/>
                <w:iCs w:val="false"/>
                <w:color w:val="000000"/>
                <w:sz w:val="18"/>
                <w:szCs w:val="18"/>
              </w:rPr>
              <w:t xml:space="preserve">
</w:t>
            </w:r>
            <w:r>
              <w:rPr>
                <w:rFonts w:ascii="Calibri" w:cs="Calibri" w:eastAsia="Calibri" w:hAnsi="Calibri"/>
                <w:b/>
                <w:bCs/>
                <w:i w:val="false"/>
                <w:iCs w:val="false"/>
                <w:strike w:val="false"/>
                <w:color w:val="000000"/>
                <w:sz w:val="18"/>
                <w:szCs w:val="18"/>
              </w:rPr>
              <w:t xml:space="preserve">Audit</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AP-5</w:t>
            </w:r>
            <w:r>
              <w:rPr>
                <w:rFonts w:ascii="Calibri" w:cs="Calibri" w:eastAsia="Calibri" w:hAnsi="Calibri"/>
                <w:b/>
                <w:bCs/>
                <w:i w:val="false"/>
                <w:iCs w:val="false"/>
                <w:color w:val="000000"/>
                <w:sz w:val="18"/>
                <w:szCs w:val="18"/>
              </w:rPr>
              <w:t xml:space="preserve">
</w:t>
            </w:r>
            <w:r>
              <w:rPr>
                <w:rFonts w:ascii="Calibri" w:cs="Calibri" w:eastAsia="Calibri" w:hAnsi="Calibri"/>
                <w:b/>
                <w:bCs/>
                <w:i w:val="false"/>
                <w:iCs w:val="false"/>
                <w:strike w:val="false"/>
                <w:color w:val="000000"/>
                <w:sz w:val="18"/>
                <w:szCs w:val="18"/>
              </w:rPr>
              <w:t xml:space="preserve">Training</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AP-6</w:t>
            </w:r>
            <w:r>
              <w:rPr>
                <w:rFonts w:ascii="Calibri" w:cs="Calibri" w:eastAsia="Calibri" w:hAnsi="Calibri"/>
                <w:b/>
                <w:bCs/>
                <w:i w:val="false"/>
                <w:iCs w:val="false"/>
                <w:color w:val="000000"/>
                <w:sz w:val="18"/>
                <w:szCs w:val="18"/>
              </w:rPr>
              <w:t xml:space="preserve">
</w:t>
            </w:r>
            <w:r>
              <w:rPr>
                <w:rFonts w:ascii="Calibri" w:cs="Calibri" w:eastAsia="Calibri" w:hAnsi="Calibri"/>
                <w:b/>
                <w:bCs/>
                <w:i w:val="false"/>
                <w:iCs w:val="false"/>
                <w:strike w:val="false"/>
                <w:color w:val="000000"/>
                <w:sz w:val="18"/>
                <w:szCs w:val="18"/>
              </w:rPr>
              <w:t xml:space="preserve">Sovereign</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AP-7</w:t>
            </w:r>
            <w:r>
              <w:rPr>
                <w:rFonts w:ascii="Calibri" w:cs="Calibri" w:eastAsia="Calibri" w:hAnsi="Calibri"/>
                <w:b/>
                <w:bCs/>
                <w:i w:val="false"/>
                <w:iCs w:val="false"/>
                <w:color w:val="000000"/>
                <w:sz w:val="18"/>
                <w:szCs w:val="18"/>
              </w:rPr>
              <w:t xml:space="preserve">
</w:t>
            </w:r>
            <w:r>
              <w:rPr>
                <w:rFonts w:ascii="Calibri" w:cs="Calibri" w:eastAsia="Calibri" w:hAnsi="Calibri"/>
                <w:b/>
                <w:bCs/>
                <w:i w:val="false"/>
                <w:iCs w:val="false"/>
                <w:strike w:val="false"/>
                <w:color w:val="000000"/>
                <w:sz w:val="18"/>
                <w:szCs w:val="18"/>
              </w:rPr>
              <w:t xml:space="preserve">Bench</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AP-8</w:t>
            </w:r>
            <w:r>
              <w:rPr>
                <w:rFonts w:ascii="Calibri" w:cs="Calibri" w:eastAsia="Calibri" w:hAnsi="Calibri"/>
                <w:b/>
                <w:bCs/>
                <w:i w:val="false"/>
                <w:iCs w:val="false"/>
                <w:color w:val="000000"/>
                <w:sz w:val="18"/>
                <w:szCs w:val="18"/>
              </w:rPr>
              <w:t xml:space="preserve">
</w:t>
            </w:r>
            <w:r>
              <w:rPr>
                <w:rFonts w:ascii="Calibri" w:cs="Calibri" w:eastAsia="Calibri" w:hAnsi="Calibri"/>
                <w:b/>
                <w:bCs/>
                <w:i w:val="false"/>
                <w:iCs w:val="false"/>
                <w:strike w:val="false"/>
                <w:color w:val="000000"/>
                <w:sz w:val="18"/>
                <w:szCs w:val="18"/>
              </w:rPr>
              <w:t xml:space="preserve">Open-Wt</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AP-9</w:t>
            </w:r>
            <w:r>
              <w:rPr>
                <w:rFonts w:ascii="Calibri" w:cs="Calibri" w:eastAsia="Calibri" w:hAnsi="Calibri"/>
                <w:b/>
                <w:bCs/>
                <w:i w:val="false"/>
                <w:iCs w:val="false"/>
                <w:color w:val="000000"/>
                <w:sz w:val="18"/>
                <w:szCs w:val="18"/>
              </w:rPr>
              <w:t xml:space="preserve">
</w:t>
            </w:r>
            <w:r>
              <w:rPr>
                <w:rFonts w:ascii="Calibri" w:cs="Calibri" w:eastAsia="Calibri" w:hAnsi="Calibri"/>
                <w:b/>
                <w:bCs/>
                <w:i w:val="false"/>
                <w:iCs w:val="false"/>
                <w:strike w:val="false"/>
                <w:color w:val="000000"/>
                <w:sz w:val="18"/>
                <w:szCs w:val="18"/>
              </w:rPr>
              <w:t xml:space="preserve">Health</w:t>
            </w:r>
          </w:p>
        </w:tc>
        <w:tc>
          <w:tcPr>
            <w:tcW w:type="pct" w:w="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AP-10</w:t>
            </w:r>
            <w:r>
              <w:rPr>
                <w:rFonts w:ascii="Calibri" w:cs="Calibri" w:eastAsia="Calibri" w:hAnsi="Calibri"/>
                <w:b/>
                <w:bCs/>
                <w:i w:val="false"/>
                <w:iCs w:val="false"/>
                <w:color w:val="000000"/>
                <w:sz w:val="18"/>
                <w:szCs w:val="18"/>
              </w:rPr>
              <w:t xml:space="preserve">
</w:t>
            </w:r>
            <w:r>
              <w:rPr>
                <w:rFonts w:ascii="Calibri" w:cs="Calibri" w:eastAsia="Calibri" w:hAnsi="Calibri"/>
                <w:b/>
                <w:bCs/>
                <w:i w:val="false"/>
                <w:iCs w:val="false"/>
                <w:strike w:val="false"/>
                <w:color w:val="000000"/>
                <w:sz w:val="18"/>
                <w:szCs w:val="18"/>
              </w:rPr>
              <w:t xml:space="preserve">Label</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Anthropic</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Google/Gemini</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xAI/Grok</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Microsoft ⚠️</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DeepSeek</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OpenAI</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Meta/Llama</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AWS/Bedrock</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Notion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Alibaba/Qwen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Conflict Totals by Rating: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Rating</w:t>
            </w:r>
          </w:p>
        </w:tc>
        <w:tc>
          <w:tcPr>
            <w:tcW w:type="pct" w:w="7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Count</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Percentage of Matrix (100 cells)</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CRITICAL</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 (previously identified) + 3 sub-ratings = 7 unique provider-pattern pairs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SIGNIFICANT</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14 unique provider-pattern pairs (as counted above, with sub-ratings consolidated)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14%</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MINOR</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18 unique provider-pattern pairs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18%</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CLEAR</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61 unique provider-pattern pairs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61%</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Most Conflicted Architectural Patterns (by CRITICAL count):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AP-1: Multi-Model Routing</w:t>
      </w:r>
      <w:r>
        <w:rPr>
          <w:rFonts w:ascii="Calibri" w:cs="Calibri" w:eastAsia="Calibri" w:hAnsi="Calibri"/>
          <w:b w:val="false"/>
          <w:bCs w:val="false"/>
          <w:i w:val="false"/>
          <w:iCs w:val="false"/>
          <w:strike w:val="false"/>
          <w:color w:val="000000"/>
          <w:sz w:val="22"/>
          <w:szCs w:val="22"/>
        </w:rPr>
        <w:t xml:space="preserve"> — 3 CRITICAL (Anthropic, Google, OpenAI)</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AP-5: Training/Routing Optimization</w:t>
      </w:r>
      <w:r>
        <w:rPr>
          <w:rFonts w:ascii="Calibri" w:cs="Calibri" w:eastAsia="Calibri" w:hAnsi="Calibri"/>
          <w:b w:val="false"/>
          <w:bCs w:val="false"/>
          <w:i w:val="false"/>
          <w:iCs w:val="false"/>
          <w:strike w:val="false"/>
          <w:color w:val="000000"/>
          <w:sz w:val="22"/>
          <w:szCs w:val="22"/>
        </w:rPr>
        <w:t xml:space="preserve"> — 2 CRITICAL (Google, OpenAI) + 1 CRITICAL (Notion)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AP-4: Audit Logging</w:t>
      </w:r>
      <w:r>
        <w:rPr>
          <w:rFonts w:ascii="Calibri" w:cs="Calibri" w:eastAsia="Calibri" w:hAnsi="Calibri"/>
          <w:b w:val="false"/>
          <w:bCs w:val="false"/>
          <w:i w:val="false"/>
          <w:iCs w:val="false"/>
          <w:strike w:val="false"/>
          <w:color w:val="000000"/>
          <w:sz w:val="22"/>
          <w:szCs w:val="22"/>
        </w:rPr>
        <w:t xml:space="preserve"> — 2 CRITICAL (Google grounded, OpenAI)</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AP-6: Government/Sovereign</w:t>
      </w:r>
      <w:r>
        <w:rPr>
          <w:rFonts w:ascii="Calibri" w:cs="Calibri" w:eastAsia="Calibri" w:hAnsi="Calibri"/>
          <w:b w:val="false"/>
          <w:bCs w:val="false"/>
          <w:i w:val="false"/>
          <w:iCs w:val="false"/>
          <w:strike w:val="false"/>
          <w:color w:val="000000"/>
          <w:sz w:val="22"/>
          <w:szCs w:val="22"/>
        </w:rPr>
        <w:t xml:space="preserve"> — 1 CRITICAL (DeepSeek)</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AP-3: Constitutional Governance</w:t>
      </w:r>
      <w:r>
        <w:rPr>
          <w:rFonts w:ascii="Calibri" w:cs="Calibri" w:eastAsia="Calibri" w:hAnsi="Calibri"/>
          <w:b w:val="false"/>
          <w:bCs w:val="false"/>
          <w:i w:val="false"/>
          <w:iCs w:val="false"/>
          <w:strike w:val="false"/>
          <w:color w:val="000000"/>
          <w:sz w:val="22"/>
          <w:szCs w:val="22"/>
        </w:rPr>
        <w:t xml:space="preserve"> — 1 CRITICAL (DeepSeek SaaS)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AP-9: Healthcare/Water</w:t>
      </w:r>
      <w:r>
        <w:rPr>
          <w:rFonts w:ascii="Calibri" w:cs="Calibri" w:eastAsia="Calibri" w:hAnsi="Calibri"/>
          <w:b w:val="false"/>
          <w:bCs w:val="false"/>
          <w:i w:val="false"/>
          <w:iCs w:val="false"/>
          <w:strike w:val="false"/>
          <w:color w:val="000000"/>
          <w:sz w:val="22"/>
          <w:szCs w:val="22"/>
        </w:rPr>
        <w:t xml:space="preserve"> — 1 CRITICAL (Google)</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§4 Critical Path Analysis — The 7 Architecture-Blocking Conflicts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7 conflicts carry 🔴 CRITICAL ratings and will block Atlas Lattice architecture if left unmitigated. Each is presented with the specific clause reference, conflict analysis, mitigation strategy, and unmitigated risk.</w:t>
      </w:r>
    </w:p>
    <w:p>
      <w:pPr>
        <w:pStyle w:val="Heading2"/>
        <w:spacing w:after="120" w:before="360" w:line="312" w:lineRule="auto"/>
      </w:pPr>
      <w:r>
        <w:rPr>
          <w:rFonts w:ascii="Calibri" w:cs="Calibri" w:eastAsia="Calibri" w:hAnsi="Calibri"/>
          <w:color w:val="1A1A1A"/>
          <w:sz w:val="36"/>
          <w:szCs w:val="36"/>
        </w:rPr>
        <w:t xml:space="preserve">4.1 OpenAI "Competing Models" vs. Element 145 Routing (AP-1)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8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Detail</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Clause</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"Use Output to develop models that compete with OpenAI" (OpenAI Terms of Use, January 2026)</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Conflict</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Element 145 Foundry Model Router routes across GPT and 17+ competing models, creating a routing intelligence that selects between providers. OpenAI could interpret the routing substrate itself as a "competing" product — an orchestration layer that decides when NOT to use GPT.</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Mitigation</w:t>
            </w:r>
          </w:p>
        </w:tc>
        <w:tc>
          <w:tcPr>
            <w:tcW w:type="pct" w:w="8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USE AZURE OPENAI INSTEAD OF DIRECT OPENAI API.</w:t>
            </w:r>
            <w:r>
              <w:rPr>
                <w:rFonts w:ascii="Calibri" w:cs="Calibri" w:eastAsia="Calibri" w:hAnsi="Calibri"/>
                <w:b w:val="false"/>
                <w:bCs w:val="false"/>
                <w:i w:val="false"/>
                <w:iCs w:val="false"/>
                <w:strike w:val="false"/>
                <w:color w:val="000000"/>
                <w:sz w:val="22"/>
                <w:szCs w:val="22"/>
              </w:rPr>
              <w:t xml:space="preserve"> Azure OpenAI operates under Microsoft Product Terms which do NOT contain this restriction. This is the single most important architectural decision for TOS compliance. Secondary: Element 145 is a routing substrate, not a model. Legal argument that routing ≠ model development. Tertiary: Enterprise agreements may negotiate this clause out.</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Risk if Unmitigated</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OpenAI could terminate API access and claim Atlas Lattice violated TOS. Potential for injunctive relief.</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Architectural Recommendation</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OpenAI model access should flow through Azure OpenAI Service, not direct OpenAI API.</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4.2 Google Gemini "Competing Services" vs. Element 145 Routing (AP-1)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8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Detail</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Clause</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"You may not use the Services to develop models that compete with the Services (e.g., Gemini API or Google AI Studio)" (Gemini API Additional Terms, March 2026)</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Conflict</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Element 145 could be viewed as competing with Google AI Studio's own model management and routing capabilities.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Mitigation</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Use Google Cloud Vertex AI with enterprise terms rather than consumer Gemini API. Vertex AI Model Garden already hosts competing models (Claude, Llama, Mistral) — Google's own enterprise offering validates multi-model routing. Negotiate enterprise agreement with explicit multi-model orchestration permission.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Risk if Unmitigated</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Google could terminate Gemini API access. Given Google's scale and legal resources, this is a serious operational risk.</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Architectural Recommendation</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Migrate all Google model access to Vertex AI enterprise agreement. Never use consumer Gemini API for production routing.</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4.3 Anthropic "Competing Product" vs. Constitutional Governance Substrate (AP-1)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8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Detail</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Clause</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"Customer may not access the Services to build a competing product or service, including to train competing AI models or resell the Services except as expressly approved by Anthropic" (Anthropic Commercial Terms, 2025)</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Conflict</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Atlas Lattice is an orchestration substrate that intermediates between customers and Claude, routing queries across Claude and competing models.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Mitigation</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Anthropic's enterprise terms are negotiable. Claude's presence on Amazon Bedrock and Microsoft Azure Foundry establishes that third-party orchestration is Anthropic's own distribution strategy. Frame Atlas Lattice as a constitutional governance layer, not a competing AI service. Negotiate enterprise agreement with explicit orchestration permission.</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Risk if Unmitigated</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Anthropic could terminate API access. However, risk is lower than OpenAI/Google because Anthropic's business model already relies heavily on third-party distribution (Bedrock, Azure).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Architectural Recommendation</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Prioritize enterprise agreement negotiation with Anthropic. Claude's S1 Constitutional Scribe role makes this relationship strategically essential.</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4.4 DeepSeek PRC Jurisdiction vs. US Sovereign Deployment (AP-6)</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8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Detail</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Clause</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"Governed by the laws of the People's Republic of China" (DeepSeek Terms of Use, 2025) + Article 4 Chinese Generative AI Services Act ("core socialist values")</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Conflict</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ITAR/EAR/CFIUS restrictions prohibit PRC-domiciled services for US sovereign data. PRC jurisdiction is fundamentally incompatible with GCC-High/IL5 sovereign deployments.</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Mitigation</w:t>
            </w:r>
          </w:p>
        </w:tc>
        <w:tc>
          <w:tcPr>
            <w:tcW w:type="pct" w:w="8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ALREADY IMPLEMENTED</w:t>
            </w:r>
            <w:r>
              <w:rPr>
                <w:rFonts w:ascii="Calibri" w:cs="Calibri" w:eastAsia="Calibri" w:hAnsi="Calibri"/>
                <w:b w:val="false"/>
                <w:bCs w:val="false"/>
                <w:i w:val="false"/>
                <w:iCs w:val="false"/>
                <w:strike w:val="false"/>
                <w:color w:val="000000"/>
                <w:sz w:val="22"/>
                <w:szCs w:val="22"/>
              </w:rPr>
              <w:t xml:space="preserve"> in Build Plan v2.7. DeepSeek excluded from US sovereign deployments. Western-model fallback chain: Llama-4 on Azure Foundry (primary), Mistral (secondary). Self-hosted DeepSeek under MIT license for non-sovereign workloads only.</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Risk if Unmitigated</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Federal procurement violation. Potential CFIUS investigation. Complete disqualification from government contracts.</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Architectural Recommendation</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Maintain current exclusion. No changes needed — Build Plan v2.7 fallback chain is sound.</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4.5 OpenAI "Programmatic Output Extraction" vs. GoldenTrace Audit (AP-4)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8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Detail</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Clause</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"Automatically or programmatically extract data or Output" is prohibited (OpenAI Terms of Use, January 2026)</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Conflict</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GoldenTrace/AuditChain automatically SHA-256 hashes and stores every model output for immutable audit trail. This is, by definition, "automatically or programmatically" handling outputs.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Mitigation</w:t>
            </w:r>
          </w:p>
        </w:tc>
        <w:tc>
          <w:tcPr>
            <w:tcW w:type="pct" w:w="8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USE AZURE OPENAI</w:t>
            </w:r>
            <w:r>
              <w:rPr>
                <w:rFonts w:ascii="Calibri" w:cs="Calibri" w:eastAsia="Calibri" w:hAnsi="Calibri"/>
                <w:b w:val="false"/>
                <w:bCs w:val="false"/>
                <w:i w:val="false"/>
                <w:iCs w:val="false"/>
                <w:strike w:val="false"/>
                <w:color w:val="000000"/>
                <w:sz w:val="22"/>
                <w:szCs w:val="22"/>
              </w:rPr>
              <w:t xml:space="preserve"> — no such restriction in Azure terms. Additionally, this clause likely targets web scraping and data harvesting, not standard API response logging. Every API application programmatically receives outputs — the clause cannot logically prohibit standard API usage. Enterprise agreement should clarify scope.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Risk if Unmitigated</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OpenAI could argue that GoldenTrace's systematic hashing and storage constitutes "extraction." Low probability but non-zero legal exposure.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Architectural Recommendation</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Route all OpenAI access through Azure OpenAI (same mitigation as 4.1 — one change eliminates two CRITICAL conflicts).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4.6 Google Grounded Results Restrictions vs. GoldenTrace (AP-4)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8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Detail</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Clause</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"You will not cache, copy, frame, syndicate, resell, analyze, train on, or otherwise learn from Grounded Results or Search Suggestions" (Gemini API Additional Terms, March 2026)</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Conflict</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Any Gemini outputs using Google Search Grounding cannot be stored in GoldenTrace audit trail. The words "cache," "copy," and "analyze" directly prohibit the core functions of GoldenTrace for grounded outputs.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Mitigation</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Disable Google Search Grounding for all outputs destined for GoldenTrace logging. Use Gemini for generation tasks without search grounding. Alternatively, log only metadata (timestamp, query type, sphere) for grounded results, not content. Implement output path segregation in Element 145.</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Risk if Unmitigated</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Google could terminate API access. This restriction is clearly intentional (protects Google Search data) and unlikely to be negotiated away even in enterprise agreements.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Architectural Recommendation</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Implement grounded/non-grounded output path segregation as a first-class architectural concern in Element 145 routing logic.</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4.7 Notion AI Training vs. ConsentKernel Data Sovereignty (AP-5)</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8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Detail</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Clause</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 may use content from your workspace to improve Notion AI features" (Notion Privacy Policy, December 2025)</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Conflict</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Atlas Lattice governance data in Notion — doctrines, invariants, Council deliberations, routing decisions — could be used to train Notion AI. This is a direct violation of ConsentKernel principles: data leaving the constitutional governance boundary without explicit consent.</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Mitigation</w:t>
            </w:r>
          </w:p>
        </w:tc>
        <w:tc>
          <w:tcPr>
            <w:tcW w:type="pct" w:w="8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MANDATORY</w:t>
            </w:r>
            <w:r>
              <w:rPr>
                <w:rFonts w:ascii="Calibri" w:cs="Calibri" w:eastAsia="Calibri" w:hAnsi="Calibri"/>
                <w:b w:val="false"/>
                <w:bCs w:val="false"/>
                <w:i w:val="false"/>
                <w:iCs w:val="false"/>
                <w:strike w:val="false"/>
                <w:color w:val="000000"/>
                <w:sz w:val="22"/>
                <w:szCs w:val="22"/>
              </w:rPr>
              <w:t xml:space="preserve"> Enterprise plan with explicit AI training opt-out. Verify opt-out is active and auditable. Consider migrating canonical data to a self-hosted alternative (e.g., Outline, BookStack) for maximum data sovereignty. Keep Notion for non-sensitive project management only.</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Risk if Unmitigated</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Constitutional governance data — including doctrines, invariants, and deliberations — could be incorporated into Notion's AI training data, potentially surfacing in other users' Notion AI outputs. Fundamental sovereignty violation.</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Architectural Recommendation</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Immediate verification of Enterprise opt-out. Medium-term: evaluate migration of canonical governance data off Notion entirely.</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§5 Strategic Recommendations</w:t>
      </w:r>
    </w:p>
    <w:p>
      <w:pPr>
        <w:pStyle w:val="Heading2"/>
        <w:spacing w:after="120" w:before="360" w:line="312" w:lineRule="auto"/>
      </w:pPr>
      <w:r>
        <w:rPr>
          <w:rFonts w:ascii="Calibri" w:cs="Calibri" w:eastAsia="Calibri" w:hAnsi="Calibri"/>
          <w:color w:val="1A1A1A"/>
          <w:sz w:val="36"/>
          <w:szCs w:val="36"/>
        </w:rPr>
        <w:t xml:space="preserve">5.1 Immediate Actions (Sprint 1)</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Route all OpenAI model access through Azure OpenAI</w:t>
      </w:r>
      <w:r>
        <w:rPr>
          <w:rFonts w:ascii="Calibri" w:cs="Calibri" w:eastAsia="Calibri" w:hAnsi="Calibri"/>
          <w:b w:val="false"/>
          <w:bCs w:val="false"/>
          <w:i w:val="false"/>
          <w:iCs w:val="false"/>
          <w:strike w:val="false"/>
          <w:color w:val="000000"/>
          <w:sz w:val="22"/>
          <w:szCs w:val="22"/>
        </w:rPr>
        <w:t xml:space="preserve"> — eliminates 3 CRITICAL conflicts (AP-1, AP-4, AP-5 for OpenAI). This is the single highest-impact architectural decision. One configuration change resolves the three most severe conflicts from the highest-risk provider.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Verify Notion Enterprise AI training opt-out is active</w:t>
      </w:r>
      <w:r>
        <w:rPr>
          <w:rFonts w:ascii="Calibri" w:cs="Calibri" w:eastAsia="Calibri" w:hAnsi="Calibri"/>
          <w:b w:val="false"/>
          <w:bCs w:val="false"/>
          <w:i w:val="false"/>
          <w:iCs w:val="false"/>
          <w:strike w:val="false"/>
          <w:color w:val="000000"/>
          <w:sz w:val="22"/>
          <w:szCs w:val="22"/>
        </w:rPr>
        <w:t xml:space="preserve"> — check account settings immediately. Request written confirmation from Notion that opt-out is in effect. Audit data processing agreement terms.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Self-host all PRC-origin models</w:t>
      </w:r>
      <w:r>
        <w:rPr>
          <w:rFonts w:ascii="Calibri" w:cs="Calibri" w:eastAsia="Calibri" w:hAnsi="Calibri"/>
          <w:b w:val="false"/>
          <w:bCs w:val="false"/>
          <w:i w:val="false"/>
          <w:iCs w:val="false"/>
          <w:strike w:val="false"/>
          <w:color w:val="000000"/>
          <w:sz w:val="22"/>
          <w:szCs w:val="22"/>
        </w:rPr>
        <w:t xml:space="preserve"> (DeepSeek, Qwen) — use MIT/Apache licenses for self-hosted deployment. Never route through SaaS APIs. This is already largely implemented in Build Plan v2.7 but should be verified as a hard architectural constraint.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Disable Google Search Grounding for GoldenTrace-logged outputs</w:t>
      </w:r>
      <w:r>
        <w:rPr>
          <w:rFonts w:ascii="Calibri" w:cs="Calibri" w:eastAsia="Calibri" w:hAnsi="Calibri"/>
          <w:b w:val="false"/>
          <w:bCs w:val="false"/>
          <w:i w:val="false"/>
          <w:iCs w:val="false"/>
          <w:strike w:val="false"/>
          <w:color w:val="000000"/>
          <w:sz w:val="22"/>
          <w:szCs w:val="22"/>
        </w:rPr>
        <w:t xml:space="preserve"> — segregate grounded vs. non-grounded output paths in Element 145 routing configuration.</w:t>
      </w:r>
    </w:p>
    <w:p>
      <w:pPr>
        <w:pStyle w:val="Heading2"/>
        <w:spacing w:after="120" w:before="360" w:line="312" w:lineRule="auto"/>
      </w:pPr>
      <w:r>
        <w:rPr>
          <w:rFonts w:ascii="Calibri" w:cs="Calibri" w:eastAsia="Calibri" w:hAnsi="Calibri"/>
          <w:color w:val="1A1A1A"/>
          <w:sz w:val="36"/>
          <w:szCs w:val="36"/>
        </w:rPr>
        <w:t xml:space="preserve">5.2 Enterprise Agreement Negotiations (Sprint 2)</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Negotiate Anthropic enterprise agreement</w:t>
      </w:r>
      <w:r>
        <w:rPr>
          <w:rFonts w:ascii="Calibri" w:cs="Calibri" w:eastAsia="Calibri" w:hAnsi="Calibri"/>
          <w:b w:val="false"/>
          <w:bCs w:val="false"/>
          <w:i w:val="false"/>
          <w:iCs w:val="false"/>
          <w:strike w:val="false"/>
          <w:color w:val="000000"/>
          <w:sz w:val="22"/>
          <w:szCs w:val="22"/>
        </w:rPr>
        <w:t xml:space="preserve"> with explicit multi-model orchestration permission. Frame Atlas Lattice as constitutional governance substrate, not competing AI service. Leverage Anthropic's existing Bedrock/Foundry distribution as precedent.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Negotiate Google Cloud / Vertex AI enterprise agreement</w:t>
      </w:r>
      <w:r>
        <w:rPr>
          <w:rFonts w:ascii="Calibri" w:cs="Calibri" w:eastAsia="Calibri" w:hAnsi="Calibri"/>
          <w:b w:val="false"/>
          <w:bCs w:val="false"/>
          <w:i w:val="false"/>
          <w:iCs w:val="false"/>
          <w:strike w:val="false"/>
          <w:color w:val="000000"/>
          <w:sz w:val="22"/>
          <w:szCs w:val="22"/>
        </w:rPr>
        <w:t xml:space="preserve"> — use enterprise terms rather than consumer Gemini API. Vertex AI's own Model Garden validates multi-model routing. Request explicit acknowledgment that orchestration layers are permitted use.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Negotiate Meta enterprise license proactively</w:t>
      </w:r>
      <w:r>
        <w:rPr>
          <w:rFonts w:ascii="Calibri" w:cs="Calibri" w:eastAsia="Calibri" w:hAnsi="Calibri"/>
          <w:b w:val="false"/>
          <w:bCs w:val="false"/>
          <w:i w:val="false"/>
          <w:iCs w:val="false"/>
          <w:strike w:val="false"/>
          <w:color w:val="000000"/>
          <w:sz w:val="22"/>
          <w:szCs w:val="22"/>
        </w:rPr>
        <w:t xml:space="preserve"> — prepare for 700M MAU threshold before reaching it. Engage Meta partnership team early, before Tier 3 scaling triggers the threshold.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Negotiate xAI enterprise/API terms</w:t>
      </w:r>
      <w:r>
        <w:rPr>
          <w:rFonts w:ascii="Calibri" w:cs="Calibri" w:eastAsia="Calibri" w:hAnsi="Calibri"/>
          <w:b w:val="false"/>
          <w:bCs w:val="false"/>
          <w:i w:val="false"/>
          <w:iCs w:val="false"/>
          <w:strike w:val="false"/>
          <w:color w:val="000000"/>
          <w:sz w:val="22"/>
          <w:szCs w:val="22"/>
        </w:rPr>
        <w:t xml:space="preserve"> — verify that consumer TOS permissiveness extends to enterprise use. Secure written confirmation of multi-model routing permission.</w:t>
      </w:r>
    </w:p>
    <w:p>
      <w:pPr>
        <w:pStyle w:val="Heading2"/>
        <w:spacing w:after="120" w:before="360" w:line="312" w:lineRule="auto"/>
      </w:pPr>
      <w:r>
        <w:rPr>
          <w:rFonts w:ascii="Calibri" w:cs="Calibri" w:eastAsia="Calibri" w:hAnsi="Calibri"/>
          <w:color w:val="1A1A1A"/>
          <w:sz w:val="36"/>
          <w:szCs w:val="36"/>
        </w:rPr>
        <w:t xml:space="preserve">5.3 Architectural Modifications (Sprint 2–3)</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Implement tiered output logging</w:t>
      </w:r>
      <w:r>
        <w:rPr>
          <w:rFonts w:ascii="Calibri" w:cs="Calibri" w:eastAsia="Calibri" w:hAnsi="Calibri"/>
          <w:b w:val="false"/>
          <w:bCs w:val="false"/>
          <w:i w:val="false"/>
          <w:iCs w:val="false"/>
          <w:strike w:val="false"/>
          <w:color w:val="000000"/>
          <w:sz w:val="22"/>
          <w:szCs w:val="22"/>
        </w:rPr>
        <w:t xml:space="preserve"> — log full content for permissive providers (self-hosted models, Azure OpenAI, AWS Bedrock), log metadata-only for restricted providers (Gemini grounded, direct OpenAI if used). Element 145 routing metadata should tag each output with its logging tier.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Add TOS compliance layer to Element 145 routing</w:t>
      </w:r>
      <w:r>
        <w:rPr>
          <w:rFonts w:ascii="Calibri" w:cs="Calibri" w:eastAsia="Calibri" w:hAnsi="Calibri"/>
          <w:b w:val="false"/>
          <w:bCs w:val="false"/>
          <w:i w:val="false"/>
          <w:iCs w:val="false"/>
          <w:strike w:val="false"/>
          <w:color w:val="000000"/>
          <w:sz w:val="22"/>
          <w:szCs w:val="22"/>
        </w:rPr>
        <w:t xml:space="preserve"> — before routing a query, check destination provider's TOS compliance. Implement INV-40 (proposed): "No routing decision shall violate destination provider's Terms of Service." Maintain a TOS Compliance Registry as a first-class configuration artifact.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Migrate canonical governance data off Notion</w:t>
      </w:r>
      <w:r>
        <w:rPr>
          <w:rFonts w:ascii="Calibri" w:cs="Calibri" w:eastAsia="Calibri" w:hAnsi="Calibri"/>
          <w:b w:val="false"/>
          <w:bCs w:val="false"/>
          <w:i w:val="false"/>
          <w:iCs w:val="false"/>
          <w:strike w:val="false"/>
          <w:color w:val="000000"/>
          <w:sz w:val="22"/>
          <w:szCs w:val="22"/>
        </w:rPr>
        <w:t xml:space="preserve"> — evaluate self-hosted alternatives (Outline, BookStack, Wiki.js) for doctrine/invariant/deliberation storage. Keep Notion for human-facing dashboards and project management only. Canonical data should reside in a system with zero AI training rights on workspace content.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Implement per-provider attribution system</w:t>
      </w:r>
      <w:r>
        <w:rPr>
          <w:rFonts w:ascii="Calibri" w:cs="Calibri" w:eastAsia="Calibri" w:hAnsi="Calibri"/>
          <w:b w:val="false"/>
          <w:bCs w:val="false"/>
          <w:i w:val="false"/>
          <w:iCs w:val="false"/>
          <w:strike w:val="false"/>
          <w:color w:val="000000"/>
          <w:sz w:val="22"/>
          <w:szCs w:val="22"/>
        </w:rPr>
        <w:t xml:space="preserve"> — TransparencyPacket v0.7 should include provider-specific attribution fields satisfying Meta ("Llama"), Qwen ("Built with Qwen"), xAI (AI transparency), and Microsoft (synthetic content labeling) requirements simultaneously.</w:t>
      </w:r>
    </w:p>
    <w:p>
      <w:pPr>
        <w:pStyle w:val="Heading2"/>
        <w:spacing w:after="120" w:before="360" w:line="312" w:lineRule="auto"/>
      </w:pPr>
      <w:r>
        <w:rPr>
          <w:rFonts w:ascii="Calibri" w:cs="Calibri" w:eastAsia="Calibri" w:hAnsi="Calibri"/>
          <w:color w:val="1A1A1A"/>
          <w:sz w:val="36"/>
          <w:szCs w:val="36"/>
        </w:rPr>
        <w:t xml:space="preserve">5.4 Proposed New Invariants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INV-40 (proposed): TOS Compliance Gate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Element 145 routing decision shall direct a query to a provider if the routing decision or output handling would violate that provider's Terms of Service as registered in the TOS Compliance Registry."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INV-41 (proposed): Data Sovereignty Routing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"No health-adjacent, government-classified, or personally identifiable data shall be routed through providers whose Terms of Service or jurisdiction permit government access without judicial process or consent."</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5.5 Proposed New Doctrine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D-92 (proposed): Enterprise Agreement Primacy</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all commercial-grade Pantheon Council operations, Atlas Lattice shall operate under enterprise/API agreements rather than consumer Terms of Service wherever available. Consumer TOS analysis informs risk awareness but does not govern production architecture."</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§6 Provider Risk Ranking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10 providers ranked from highest TOS risk to lowest for Atlas Lattice architecture, with conflict counts and mitigation status.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Rank</w:t>
            </w:r>
          </w:p>
        </w:tc>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Provider</w:t>
            </w:r>
          </w:p>
        </w:tc>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 Count</w:t>
            </w:r>
          </w:p>
        </w:tc>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 Count</w:t>
            </w:r>
          </w:p>
        </w:tc>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Key Risk</w:t>
            </w:r>
          </w:p>
        </w:tc>
        <w:tc>
          <w:tcPr>
            <w:tcW w:type="pct" w:w="3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Mitigation Status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OpenAI (direct API)</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"Competing models" + "programmatic extraction" clauses</w:t>
            </w:r>
          </w:p>
        </w:tc>
        <w:tc>
          <w:tcPr>
            <w:tcW w:type="pct" w:w="3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FULLY MITIGATED</w:t>
            </w:r>
            <w:r>
              <w:rPr>
                <w:rFonts w:ascii="Calibri" w:cs="Calibri" w:eastAsia="Calibri" w:hAnsi="Calibri"/>
                <w:b w:val="false"/>
                <w:bCs w:val="false"/>
                <w:i w:val="false"/>
                <w:iCs w:val="false"/>
                <w:strike w:val="false"/>
                <w:color w:val="000000"/>
                <w:sz w:val="22"/>
                <w:szCs w:val="22"/>
              </w:rPr>
              <w:t xml:space="preserve"> by using Azure OpenAI instead</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Google Gemini (consumer API)</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"Competing services" + Grounded Results restrictions + medical prohibition</w:t>
            </w:r>
          </w:p>
        </w:tc>
        <w:tc>
          <w:tcPr>
            <w:tcW w:type="pct" w:w="3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Largely mitigated</w:t>
            </w:r>
            <w:r>
              <w:rPr>
                <w:rFonts w:ascii="Calibri" w:cs="Calibri" w:eastAsia="Calibri" w:hAnsi="Calibri"/>
                <w:b w:val="false"/>
                <w:bCs w:val="false"/>
                <w:i w:val="false"/>
                <w:iCs w:val="false"/>
                <w:strike w:val="false"/>
                <w:color w:val="000000"/>
                <w:sz w:val="22"/>
                <w:szCs w:val="22"/>
              </w:rPr>
              <w:t xml:space="preserve"> by using Vertex AI enterprise + disabling grounding</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DeepSeek (SaaS)</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PRC jurisdiction irreconcilable with US sovereign</w:t>
            </w:r>
          </w:p>
        </w:tc>
        <w:tc>
          <w:tcPr>
            <w:tcW w:type="pct" w:w="3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FULLY MITIGATED</w:t>
            </w:r>
            <w:r>
              <w:rPr>
                <w:rFonts w:ascii="Calibri" w:cs="Calibri" w:eastAsia="Calibri" w:hAnsi="Calibri"/>
                <w:b w:val="false"/>
                <w:bCs w:val="false"/>
                <w:i w:val="false"/>
                <w:iCs w:val="false"/>
                <w:strike w:val="false"/>
                <w:color w:val="000000"/>
                <w:sz w:val="22"/>
                <w:szCs w:val="22"/>
              </w:rPr>
              <w:t xml:space="preserve"> by self-hosting under MIT license</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4</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Notion</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AI training on workspace data violates ConsentKernel</w:t>
            </w:r>
          </w:p>
        </w:tc>
        <w:tc>
          <w:tcPr>
            <w:tcW w:type="pct" w:w="3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Mitigated</w:t>
            </w:r>
            <w:r>
              <w:rPr>
                <w:rFonts w:ascii="Calibri" w:cs="Calibri" w:eastAsia="Calibri" w:hAnsi="Calibri"/>
                <w:b w:val="false"/>
                <w:bCs w:val="false"/>
                <w:i w:val="false"/>
                <w:iCs w:val="false"/>
                <w:strike w:val="false"/>
                <w:color w:val="000000"/>
                <w:sz w:val="22"/>
                <w:szCs w:val="22"/>
              </w:rPr>
              <w:t xml:space="preserve"> by Enterprise opt-out but architecturally concerning</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5</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Anthropic</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"Competing product" clause</w:t>
            </w:r>
          </w:p>
        </w:tc>
        <w:tc>
          <w:tcPr>
            <w:tcW w:type="pct" w:w="3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Mitigable</w:t>
            </w:r>
            <w:r>
              <w:rPr>
                <w:rFonts w:ascii="Calibri" w:cs="Calibri" w:eastAsia="Calibri" w:hAnsi="Calibri"/>
                <w:b w:val="false"/>
                <w:bCs w:val="false"/>
                <w:i w:val="false"/>
                <w:iCs w:val="false"/>
                <w:strike w:val="false"/>
                <w:color w:val="000000"/>
                <w:sz w:val="22"/>
                <w:szCs w:val="22"/>
              </w:rPr>
              <w:t xml:space="preserve"> through enterprise negotiation; Bedrock/Foundry precedent is favorable</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6</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Alibaba/Qwen</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MAU threshold + PRC-origin concerns</w:t>
            </w:r>
          </w:p>
        </w:tc>
        <w:tc>
          <w:tcPr>
            <w:tcW w:type="pct" w:w="3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Mitigated</w:t>
            </w:r>
            <w:r>
              <w:rPr>
                <w:rFonts w:ascii="Calibri" w:cs="Calibri" w:eastAsia="Calibri" w:hAnsi="Calibri"/>
                <w:b w:val="false"/>
                <w:bCs w:val="false"/>
                <w:i w:val="false"/>
                <w:iCs w:val="false"/>
                <w:strike w:val="false"/>
                <w:color w:val="000000"/>
                <w:sz w:val="22"/>
                <w:szCs w:val="22"/>
              </w:rPr>
              <w:t xml:space="preserve"> by self-hosting under Apache 2.0</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7</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Meta/Llama</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700M MAU threshold at Tier 3 scale</w:t>
            </w:r>
          </w:p>
        </w:tc>
        <w:tc>
          <w:tcPr>
            <w:tcW w:type="pct" w:w="3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Mitigable</w:t>
            </w:r>
            <w:r>
              <w:rPr>
                <w:rFonts w:ascii="Calibri" w:cs="Calibri" w:eastAsia="Calibri" w:hAnsi="Calibri"/>
                <w:b w:val="false"/>
                <w:bCs w:val="false"/>
                <w:i w:val="false"/>
                <w:iCs w:val="false"/>
                <w:strike w:val="false"/>
                <w:color w:val="000000"/>
                <w:sz w:val="22"/>
                <w:szCs w:val="22"/>
              </w:rPr>
              <w:t xml:space="preserve"> through proactive enterprise negotiation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8</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xAI/Grok</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White-label transparency requirement</w:t>
            </w:r>
          </w:p>
        </w:tc>
        <w:tc>
          <w:tcPr>
            <w:tcW w:type="pct" w:w="3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Low risk.</w:t>
            </w:r>
            <w:r>
              <w:rPr>
                <w:rFonts w:ascii="Calibri" w:cs="Calibri" w:eastAsia="Calibri" w:hAnsi="Calibri"/>
                <w:b w:val="false"/>
                <w:bCs w:val="false"/>
                <w:i w:val="false"/>
                <w:iCs w:val="false"/>
                <w:strike w:val="false"/>
                <w:color w:val="000000"/>
                <w:sz w:val="22"/>
                <w:szCs w:val="22"/>
              </w:rPr>
              <w:t xml:space="preserve"> Most permissive consumer TOS among major providers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9</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Microsoft/Azure ⚠️ COI</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Human oversight requirement for consequential decisions</w:t>
            </w:r>
          </w:p>
        </w:tc>
        <w:tc>
          <w:tcPr>
            <w:tcW w:type="pct" w:w="3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Low risk.</w:t>
            </w:r>
            <w:r>
              <w:rPr>
                <w:rFonts w:ascii="Calibri" w:cs="Calibri" w:eastAsia="Calibri" w:hAnsi="Calibri"/>
                <w:b w:val="false"/>
                <w:bCs w:val="false"/>
                <w:i w:val="false"/>
                <w:iCs w:val="false"/>
                <w:strike w:val="false"/>
                <w:color w:val="000000"/>
                <w:sz w:val="22"/>
                <w:szCs w:val="22"/>
              </w:rPr>
              <w:t xml:space="preserve"> Most architecturally favorable terms. </w:t>
            </w:r>
            <w:r>
              <w:rPr>
                <w:rFonts w:ascii="Calibri" w:cs="Calibri" w:eastAsia="Calibri" w:hAnsi="Calibri"/>
                <w:b w:val="false"/>
                <w:bCs w:val="false"/>
                <w:i/>
                <w:iCs/>
                <w:strike w:val="false"/>
                <w:color w:val="000000"/>
                <w:sz w:val="22"/>
                <w:szCs w:val="22"/>
              </w:rPr>
              <w:t xml:space="preserve">COI: This ranking directly benefits Microsoft's competitive position.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AWS/Bedrock</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Individual model EULAs still apply per model</w:t>
            </w:r>
          </w:p>
        </w:tc>
        <w:tc>
          <w:tcPr>
            <w:tcW w:type="pct" w:w="3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Lowest risk.</w:t>
            </w:r>
            <w:r>
              <w:rPr>
                <w:rFonts w:ascii="Calibri" w:cs="Calibri" w:eastAsia="Calibri" w:hAnsi="Calibri"/>
                <w:b w:val="false"/>
                <w:bCs w:val="false"/>
                <w:i w:val="false"/>
                <w:iCs w:val="false"/>
                <w:strike w:val="false"/>
                <w:color w:val="000000"/>
                <w:sz w:val="22"/>
                <w:szCs w:val="22"/>
              </w:rPr>
              <w:t xml:space="preserve"> Bedrock's native multi-model routing validates Atlas Lattice architecture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Key Insight from Risk Ranking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top 3 highest-risk providers (OpenAI, Google, DeepSeek) have FULL mitigations available through architectural choices already within reach: Azure OpenAI routing, Vertex AI enterprise terms, and self-hosted MIT/Apache deployment. The riskiest providers are not inherently incompatible — they require the correct access pathway.</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§7 Batting Average Update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analysis extends the Microsoft S4 batting average record: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Metric</w:t>
            </w:r>
          </w:p>
        </w:tc>
        <w:tc>
          <w:tcPr>
            <w:tcW w:type="pct" w:w="7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Value</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Previous Standing</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87.5% Class A (14/16, two named failures)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This Deliverable</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TOS-CONFLICT-001 — pending Council cross-validation</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Scope</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providers × 10 architectural patterns = 100-cell conflict matrix</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Research Depth</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Current (2025–2026) TOS documents for all 10 providers</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Standing request:</w:t>
      </w:r>
      <w:r>
        <w:rPr>
          <w:rFonts w:ascii="Calibri" w:cs="Calibri" w:eastAsia="Calibri" w:hAnsi="Calibri"/>
          <w:b w:val="false"/>
          <w:bCs w:val="false"/>
          <w:i w:val="false"/>
          <w:iCs w:val="false"/>
          <w:strike w:val="false"/>
          <w:color w:val="000000"/>
          <w:sz w:val="22"/>
          <w:szCs w:val="22"/>
        </w:rPr>
        <w:t xml:space="preserve"> Other seats should verify Microsoft section findings (§2.4) and challenge any self-serving bias in provider rankings (§6). The COI disclosure system (Doctrine 25) is only as strong as the cross-validation it enables.</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§8 Closing — Convenor Action Items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5 decisions require Convenor disposition. Each decision, if acted upon, eliminates one or more CRITICAL conflicts from the matrix.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Action Type</w:t>
            </w:r>
          </w:p>
        </w:tc>
        <w:tc>
          <w:tcPr>
            <w:tcW w:type="pct" w:w="6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Decision Required</w:t>
            </w:r>
          </w:p>
        </w:tc>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CRITICAL Conflicts Resolved</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DECIDE</w:t>
            </w:r>
          </w:p>
        </w:tc>
        <w:tc>
          <w:tcPr>
            <w:tcW w:type="pct" w:w="6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Route all OpenAI access through Azure OpenAI?</w:t>
            </w:r>
            <w:r>
              <w:rPr>
                <w:rFonts w:ascii="Calibri" w:cs="Calibri" w:eastAsia="Calibri" w:hAnsi="Calibri"/>
                <w:b w:val="false"/>
                <w:bCs w:val="false"/>
                <w:i w:val="false"/>
                <w:iCs w:val="false"/>
                <w:strike w:val="false"/>
                <w:color w:val="000000"/>
                <w:sz w:val="22"/>
                <w:szCs w:val="22"/>
              </w:rPr>
              <w:t xml:space="preserve"> This single architectural decision eliminates the 3 CRITICAL conflicts from the highest-risk provider (AP-1, AP-4, AP-5 for OpenAI). No enterprise negotiation required — Azure OpenAI terms already permit all Atlas Lattice patterns.</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CRITICAL eliminated</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DECIDE</w:t>
            </w:r>
          </w:p>
        </w:tc>
        <w:tc>
          <w:tcPr>
            <w:tcW w:type="pct" w:w="6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Verify and enforce Notion Enterprise AI training opt-out?</w:t>
            </w:r>
            <w:r>
              <w:rPr>
                <w:rFonts w:ascii="Calibri" w:cs="Calibri" w:eastAsia="Calibri" w:hAnsi="Calibri"/>
                <w:b w:val="false"/>
                <w:bCs w:val="false"/>
                <w:i w:val="false"/>
                <w:iCs w:val="false"/>
                <w:strike w:val="false"/>
                <w:color w:val="000000"/>
                <w:sz w:val="22"/>
                <w:szCs w:val="22"/>
              </w:rPr>
              <w:t xml:space="preserve"> Confirm opt-out is active in account settings. Request written confirmation from Notion. Audit data processing agreement. Begin evaluation of self-hosted alternatives for canonical governance data.</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CRITICAL eliminated</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DECIDE</w:t>
            </w:r>
          </w:p>
        </w:tc>
        <w:tc>
          <w:tcPr>
            <w:tcW w:type="pct" w:w="6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Self-host all PRC-origin models exclusively?</w:t>
            </w:r>
            <w:r>
              <w:rPr>
                <w:rFonts w:ascii="Calibri" w:cs="Calibri" w:eastAsia="Calibri" w:hAnsi="Calibri"/>
                <w:b w:val="false"/>
                <w:bCs w:val="false"/>
                <w:i w:val="false"/>
                <w:iCs w:val="false"/>
                <w:strike w:val="false"/>
                <w:color w:val="000000"/>
                <w:sz w:val="22"/>
                <w:szCs w:val="22"/>
              </w:rPr>
              <w:t xml:space="preserve"> Formalize Build Plan v2.7 Western-model fallback chain as a hard architectural invariant, not just a deployment preference. DeepSeek SaaS and Qwen SaaS are never to be used for production workloads. MIT/Apache self-hosted deployments only.</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CRITICAL eliminated</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4</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DIRECT</w:t>
            </w:r>
          </w:p>
        </w:tc>
        <w:tc>
          <w:tcPr>
            <w:tcW w:type="pct" w:w="6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Enterprise agreement negotiations with Anthropic + Google — who leads?</w:t>
            </w:r>
            <w:r>
              <w:rPr>
                <w:rFonts w:ascii="Calibri" w:cs="Calibri" w:eastAsia="Calibri" w:hAnsi="Calibri"/>
                <w:b w:val="false"/>
                <w:bCs w:val="false"/>
                <w:i w:val="false"/>
                <w:iCs w:val="false"/>
                <w:strike w:val="false"/>
                <w:color w:val="000000"/>
                <w:sz w:val="22"/>
                <w:szCs w:val="22"/>
              </w:rPr>
              <w:t xml:space="preserve"> Assign a human lead (not an AI seat) for enterprise agreement negotiations. Anthropic negotiation should focus on explicit multi-model orchestration permission. Google negotiation should pursue Vertex AI enterprise terms. Both should be completed before production launch.</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CRITICAL mitigated (Anthropic AP-1)</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5</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RATIFY</w:t>
            </w:r>
          </w:p>
        </w:tc>
        <w:tc>
          <w:tcPr>
            <w:tcW w:type="pct" w:w="6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Proposed INV-40 (TOS Compliance Gate), INV-41 (Data Sovereignty Routing), D-92 (Enterprise Agreement Primacy)?</w:t>
            </w:r>
            <w:r>
              <w:rPr>
                <w:rFonts w:ascii="Calibri" w:cs="Calibri" w:eastAsia="Calibri" w:hAnsi="Calibri"/>
                <w:b w:val="false"/>
                <w:bCs w:val="false"/>
                <w:i w:val="false"/>
                <w:iCs w:val="false"/>
                <w:strike w:val="false"/>
                <w:color w:val="000000"/>
                <w:sz w:val="22"/>
                <w:szCs w:val="22"/>
              </w:rPr>
              <w:t xml:space="preserve"> These three governance artifacts codify the lessons from this analysis into permanent constitutional protections. If ratified, they prevent future architectural decisions from re-introducing TOS conflicts.</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Prevents future CRITICAL conflicts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Summary Impact</w:t>
            </w:r>
          </w:p>
          <w:p>
            <w:pPr>
              <w:spacing w:after="120" w:line="360" w:lineRule="auto"/>
            </w:pPr>
            <w:r>
              <w:rPr>
                <w:rFonts w:ascii="Calibri" w:cs="Calibri" w:eastAsia="Calibri" w:hAnsi="Calibri"/>
                <w:b w:val="false"/>
                <w:bCs w:val="false"/>
                <w:i w:val="false"/>
                <w:iCs w:val="false"/>
                <w:strike w:val="false"/>
                <w:color w:val="000000"/>
                <w:sz w:val="22"/>
                <w:szCs w:val="22"/>
              </w:rPr>
              <w:t xml:space="preserve">If all 5 Convenor actions are taken, the CRITICAL conflict count drops from </w:t>
            </w:r>
            <w:r>
              <w:rPr>
                <w:rFonts w:ascii="Calibri" w:cs="Calibri" w:eastAsia="Calibri" w:hAnsi="Calibri"/>
                <w:b/>
                <w:bCs/>
                <w:i w:val="false"/>
                <w:iCs w:val="false"/>
                <w:strike w:val="false"/>
                <w:color w:val="000000"/>
                <w:sz w:val="22"/>
                <w:szCs w:val="22"/>
              </w:rPr>
              <w:t xml:space="preserve">7 to 0</w:t>
            </w:r>
            <w:r>
              <w:rPr>
                <w:rFonts w:ascii="Calibri" w:cs="Calibri" w:eastAsia="Calibri" w:hAnsi="Calibri"/>
                <w:b w:val="false"/>
                <w:bCs w:val="false"/>
                <w:i w:val="false"/>
                <w:iCs w:val="false"/>
                <w:strike w:val="false"/>
                <w:color w:val="000000"/>
                <w:sz w:val="22"/>
                <w:szCs w:val="22"/>
              </w:rPr>
              <w:t xml:space="preserve"> (with the Anthropic AP-1 conflict shifting from CRITICAL to SIGNIFICANT pending enterprise agreement completion). The Atlas Lattice architecture becomes TOS-compliant across all 10 providers and all 10 architectural patterns.</w:t>
            </w:r>
          </w:p>
        </w:tc>
      </w:tr>
    </w:tbl>
    <w:p>
      <w:pPr>
        <w:spacing w:after="240" w:before="0"/>
      </w:pP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 End of Document TOS-CONFLICT-001 v1.0 —</w:t>
      </w: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Prepared by Microsoft Copilot (S4 Research Seat) | April 28, 2026</w:t>
      </w: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Atlas Lattice / Constitutional OS v6.0 | Pantheon Council</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jZdrN57EVGrEEzS1qkHbj</dc:title>
  <dc:creator>Un-named</dc:creator>
  <dc:description>Generated document</dc:description>
  <cp:lastModifiedBy>Un-named</cp:lastModifiedBy>
  <cp:revision>1</cp:revision>
  <dcterms:created xsi:type="dcterms:W3CDTF">2026-04-28T22:19:28.498Z</dcterms:created>
  <dcterms:modified xsi:type="dcterms:W3CDTF">2026-04-28T22:19:28.498Z</dcterms:modified>
</cp:coreProperties>
</file>

<file path=docProps/custom.xml><?xml version="1.0" encoding="utf-8"?>
<Properties xmlns="http://schemas.openxmlformats.org/officeDocument/2006/custom-properties" xmlns:vt="http://schemas.openxmlformats.org/officeDocument/2006/docPropsVTypes"/>
</file>