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ORCS Core System Architecture</w:t>
      </w:r>
    </w:p>
    <w:p>
      <w:r>
        <w:t>Open Regenerative Compute Standard — Full Engineering Specifications</w:t>
      </w:r>
    </w:p>
    <w:p>
      <w:r>
        <w:t>Atlas Lattice Foundation | April 2026 | Version 2.3 (Nine-Model Convergence)</w:t>
      </w:r>
    </w:p>
    <w:p/>
    <w:p>
      <w:pPr>
        <w:pStyle w:val="Heading1"/>
      </w:pPr>
      <w:r>
        <w:t>1. System Overview</w:t>
      </w:r>
    </w:p>
    <w:p>
      <w:r>
        <w:t>The Open Regenerative Compute Standard (ORCS) is a federated, open-source framework for transforming hyperscale data centers from resource consumers into net-positive infrastructure. Nine AI systems contributed to the standard through adversarial review, producing a convergence document that no single model could have authored alone.</w:t>
      </w:r>
    </w:p>
    <w:p>
      <w:r>
        <w:t>The core architectural principle is the Regenerative Jacket — a systems integration layer that wraps conventional data center operations with water recovery, thermal offtake, agricultural co-siting, and community benefit mechanisms. The jacket does not replace existing infrastructure; it augments it through modular additions that compound multiplicatively on the remaining resource budget.</w:t>
      </w:r>
    </w:p>
    <w:p>
      <w:pPr>
        <w:pStyle w:val="Heading1"/>
      </w:pPr>
      <w:r>
        <w:t>2. Federated Council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Organization</w:t>
            </w:r>
          </w:p>
        </w:tc>
        <w:tc>
          <w:tcPr>
            <w:tcW w:type="dxa" w:w="2880"/>
          </w:tcPr>
          <w:p>
            <w:r>
              <w:t>Primary Contribution</w:t>
            </w:r>
          </w:p>
        </w:tc>
      </w:tr>
      <w:tr>
        <w:tc>
          <w:tcPr>
            <w:tcW w:type="dxa" w:w="2880"/>
          </w:tcPr>
          <w:p>
            <w:r>
              <w:t>GPT-4</w:t>
            </w:r>
          </w:p>
        </w:tc>
        <w:tc>
          <w:tcPr>
            <w:tcW w:type="dxa" w:w="2880"/>
          </w:tcPr>
          <w:p>
            <w:r>
              <w:t>OpenAI</w:t>
            </w:r>
          </w:p>
        </w:tc>
        <w:tc>
          <w:tcPr>
            <w:tcW w:type="dxa" w:w="2880"/>
          </w:tcPr>
          <w:p>
            <w:r>
              <w:t>Minimum Disclosure Standard (MDS), governance framework</w:t>
            </w:r>
          </w:p>
        </w:tc>
      </w:tr>
      <w:tr>
        <w:tc>
          <w:tcPr>
            <w:tcW w:type="dxa" w:w="2880"/>
          </w:tcPr>
          <w:p>
            <w:r>
              <w:t>Claude</w:t>
            </w:r>
          </w:p>
        </w:tc>
        <w:tc>
          <w:tcPr>
            <w:tcW w:type="dxa" w:w="2880"/>
          </w:tcPr>
          <w:p>
            <w:r>
              <w:t>Anthropic</w:t>
            </w:r>
          </w:p>
        </w:tc>
        <w:tc>
          <w:tcPr>
            <w:tcW w:type="dxa" w:w="2880"/>
          </w:tcPr>
          <w:p>
            <w:r>
              <w:t>Epistemic discipline, verification methodology</w:t>
            </w:r>
          </w:p>
        </w:tc>
      </w:tr>
      <w:tr>
        <w:tc>
          <w:tcPr>
            <w:tcW w:type="dxa" w:w="2880"/>
          </w:tcPr>
          <w:p>
            <w:r>
              <w:t>Gemini</w:t>
            </w:r>
          </w:p>
        </w:tc>
        <w:tc>
          <w:tcPr>
            <w:tcW w:type="dxa" w:w="2880"/>
          </w:tcPr>
          <w:p>
            <w:r>
              <w:t>Google DeepMind</w:t>
            </w:r>
          </w:p>
        </w:tc>
        <w:tc>
          <w:tcPr>
            <w:tcW w:type="dxa" w:w="2880"/>
          </w:tcPr>
          <w:p>
            <w:r>
              <w:t>Hydrology hub, PhD-level thermodynamic innovations</w:t>
            </w:r>
          </w:p>
        </w:tc>
      </w:tr>
      <w:tr>
        <w:tc>
          <w:tcPr>
            <w:tcW w:type="dxa" w:w="2880"/>
          </w:tcPr>
          <w:p>
            <w:r>
              <w:t>Grok</w:t>
            </w:r>
          </w:p>
        </w:tc>
        <w:tc>
          <w:tcPr>
            <w:tcW w:type="dxa" w:w="2880"/>
          </w:tcPr>
          <w:p>
            <w:r>
              <w:t>xAI</w:t>
            </w:r>
          </w:p>
        </w:tc>
        <w:tc>
          <w:tcPr>
            <w:tcW w:type="dxa" w:w="2880"/>
          </w:tcPr>
          <w:p>
            <w:r>
              <w:t>Adversarial stress-testing, political feasibility</w:t>
            </w:r>
          </w:p>
        </w:tc>
      </w:tr>
      <w:tr>
        <w:tc>
          <w:tcPr>
            <w:tcW w:type="dxa" w:w="2880"/>
          </w:tcPr>
          <w:p>
            <w:r>
              <w:t>DeepSeek</w:t>
            </w:r>
          </w:p>
        </w:tc>
        <w:tc>
          <w:tcPr>
            <w:tcW w:type="dxa" w:w="2880"/>
          </w:tcPr>
          <w:p>
            <w:r>
              <w:t>DeepSeek AI</w:t>
            </w:r>
          </w:p>
        </w:tc>
        <w:tc>
          <w:tcPr>
            <w:tcW w:type="dxa" w:w="2880"/>
          </w:tcPr>
          <w:p>
            <w:r>
              <w:t>Chinese policy integration, Eastern deployment</w:t>
            </w:r>
          </w:p>
        </w:tc>
      </w:tr>
      <w:tr>
        <w:tc>
          <w:tcPr>
            <w:tcW w:type="dxa" w:w="2880"/>
          </w:tcPr>
          <w:p>
            <w:r>
              <w:t>Qwen3</w:t>
            </w:r>
          </w:p>
        </w:tc>
        <w:tc>
          <w:tcPr>
            <w:tcW w:type="dxa" w:w="2880"/>
          </w:tcPr>
          <w:p>
            <w:r>
              <w:t>Alibaba Cloud</w:t>
            </w:r>
          </w:p>
        </w:tc>
        <w:tc>
          <w:tcPr>
            <w:tcW w:type="dxa" w:w="2880"/>
          </w:tcPr>
          <w:p>
            <w:r>
              <w:t>Water stack amplification, traditional wisdom synthesis</w:t>
            </w:r>
          </w:p>
        </w:tc>
      </w:tr>
      <w:tr>
        <w:tc>
          <w:tcPr>
            <w:tcW w:type="dxa" w:w="2880"/>
          </w:tcPr>
          <w:p>
            <w:r>
              <w:t>Llama</w:t>
            </w:r>
          </w:p>
        </w:tc>
        <w:tc>
          <w:tcPr>
            <w:tcW w:type="dxa" w:w="2880"/>
          </w:tcPr>
          <w:p>
            <w:r>
              <w:t>Meta AI</w:t>
            </w:r>
          </w:p>
        </w:tc>
        <w:tc>
          <w:tcPr>
            <w:tcW w:type="dxa" w:w="2880"/>
          </w:tcPr>
          <w:p>
            <w:r>
              <w:t>Open-source framework, community governance</w:t>
            </w:r>
          </w:p>
        </w:tc>
      </w:tr>
      <w:tr>
        <w:tc>
          <w:tcPr>
            <w:tcW w:type="dxa" w:w="2880"/>
          </w:tcPr>
          <w:p>
            <w:r>
              <w:t>Copilot</w:t>
            </w:r>
          </w:p>
        </w:tc>
        <w:tc>
          <w:tcPr>
            <w:tcW w:type="dxa" w:w="2880"/>
          </w:tcPr>
          <w:p>
            <w:r>
              <w:t>Microsoft/GitHub</w:t>
            </w:r>
          </w:p>
        </w:tc>
        <w:tc>
          <w:tcPr>
            <w:tcW w:type="dxa" w:w="2880"/>
          </w:tcPr>
          <w:p>
            <w:r>
              <w:t>Enterprise procurement, Azure integration</w:t>
            </w:r>
          </w:p>
        </w:tc>
      </w:tr>
      <w:tr>
        <w:tc>
          <w:tcPr>
            <w:tcW w:type="dxa" w:w="2880"/>
          </w:tcPr>
          <w:p>
            <w:r>
              <w:t>Alexa</w:t>
            </w:r>
          </w:p>
        </w:tc>
        <w:tc>
          <w:tcPr>
            <w:tcW w:type="dxa" w:w="2880"/>
          </w:tcPr>
          <w:p>
            <w:r>
              <w:t>Amazon/AWS</w:t>
            </w:r>
          </w:p>
        </w:tc>
        <w:tc>
          <w:tcPr>
            <w:tcW w:type="dxa" w:w="2880"/>
          </w:tcPr>
          <w:p>
            <w:r>
              <w:t>Flywheel economics, evidence-based regional analysis</w:t>
            </w:r>
          </w:p>
        </w:tc>
      </w:tr>
    </w:tbl>
    <w:p>
      <w:pPr>
        <w:pStyle w:val="Heading1"/>
      </w:pPr>
      <w:r>
        <w:t>3. Integrated Module Architecture</w:t>
      </w:r>
    </w:p>
    <w:p>
      <w:r>
        <w:t>The Water Efficiency Stack comprises 40+ modules across six categories. Modules are designed to stack — each operates on the remaining water/energy budget after upstream modules have acted. Key architectural insight: modules compound multiplicatively, not additively.</w:t>
      </w:r>
    </w:p>
    <w:p>
      <w:pPr>
        <w:pStyle w:val="Heading2"/>
      </w:pPr>
      <w:r>
        <w:t>3.1 Category 1: Heat Rejection Strategies (M1.1–M1.8)</w:t>
      </w:r>
    </w:p>
    <w:p>
      <w:r>
        <w:t>These modules address how waste heat leaves the facility. The keystone module is M1.3 (Waste Heat Offtake to CEA), which flips the water ledger from consumption to net-positive by routing thermal energy to co-sited agriculture. Supporting modules include vapor recovery (M1.1/M1.2), wastewater thermal siphon (M1.4), seawater cooling (M1.5), lake/river heat exchange (M1.6), aquifer thermal storage (M1.7), and subsurface siting (M1.8).</w:t>
      </w:r>
    </w:p>
    <w:p>
      <w:pPr>
        <w:pStyle w:val="Heading2"/>
      </w:pPr>
      <w:r>
        <w:t>3.2 Category 2: Cooling Architecture (M2.1–M2.9)</w:t>
      </w:r>
    </w:p>
    <w:p>
      <w:r>
        <w:t>The parent architecture is M2.1 (Hybrid Wet-Dry Cooling with Seasonal Switching), which accommodates most other modules. This category includes adiabatic assist (M2.2), raised supply air temperature (M2.3), direct-to-chip liquid cooling in both water-based (M2.4) and waterless dielectric (M2.5) variants, phase change thermal storage (M2.6), plant-based immersion fluid (M2.7), closed-loop precision cooling (M2.8), and demand shifting (M2.9).</w:t>
      </w:r>
    </w:p>
    <w:p>
      <w:pPr>
        <w:pStyle w:val="Heading2"/>
      </w:pPr>
      <w:r>
        <w:t>3.3 Category 3: Water Treatment &amp; Chemistry (M3.1–M3.7)</w:t>
      </w:r>
    </w:p>
    <w:p>
      <w:r>
        <w:t>Modules that maximize cycles of concentration and recover water from waste streams. Electrolytic scale control (M3.1) enables 10–20+ cycles vs. standard 3–5. Pellet reactor softening (M3.2), mechanical vapor recompression (M3.3), forward osmosis (M3.4), semiconductor-grade stream segregation (M3.5), advanced membrane desalination (M3.6), and precision humidity zoning (M3.7).</w:t>
      </w:r>
    </w:p>
    <w:p>
      <w:pPr>
        <w:pStyle w:val="Heading2"/>
      </w:pPr>
      <w:r>
        <w:t>3.4 Category 4: Site Water Integration (M4.1–M4.8)</w:t>
      </w:r>
    </w:p>
    <w:p>
      <w:r>
        <w:t>Alternative water sources that reduce or eliminate potable water dependency. Municipal reclaimed water (M4.1), rainwater harvesting (M4.2), adaptive stormwater capture (M4.3), monsoon terraced retention (M4.4), constructed wetlands (M4.5), building condensate cascade (M4.6), atmospheric water generation (M4.7), and waste-heat-driven AWG (M4.8).</w:t>
      </w:r>
    </w:p>
    <w:p>
      <w:pPr>
        <w:pStyle w:val="Heading2"/>
      </w:pPr>
      <w:r>
        <w:t>3.5 Category 5: Monitoring, Controls &amp; Passive Cooling (M5.1–M5.5)</w:t>
      </w:r>
    </w:p>
    <w:p>
      <w:r>
        <w:t>IoT leak detection (M5.1), smart coolant health monitoring (M5.2), radiative sky cooling panels (M5.3), radiative cooling envelope (M5.4), and qanat-derived earth precooling (M5.5).</w:t>
      </w:r>
    </w:p>
    <w:p>
      <w:pPr>
        <w:pStyle w:val="Heading2"/>
      </w:pPr>
      <w:r>
        <w:t>3.6 Category 6: Siting &amp; Governance (M6.1–M6.4)</w:t>
      </w:r>
    </w:p>
    <w:p>
      <w:r>
        <w:t>High-altitude/cool-climate siting (M6.1), governance-level siting policy (M6.2), municipal reciprocity (M6.3), and community water credits (M6.4).</w:t>
      </w:r>
    </w:p>
    <w:p>
      <w:pPr>
        <w:pStyle w:val="Heading1"/>
      </w:pPr>
      <w:r>
        <w:t>4. System Integration Diagrams</w:t>
      </w:r>
    </w:p>
    <w:p>
      <w:r>
        <w:t>The modules connect through three primary integration pathways:</w:t>
      </w:r>
    </w:p>
    <w:p>
      <w:r>
        <w:t>Thermal Cascade: Server rack → liquid cooling loop → heat exchanger → agricultural greenhouse / district heating → return loop. This is the primary value-creation pathway.</w:t>
      </w:r>
    </w:p>
    <w:p>
      <w:r>
        <w:t>Water Cascade: Atmospheric moisture → vapor recovery → condensate treatment → cooling makeup / agricultural irrigation → constructed wetland polishing → aquifer return. This is the net-positive water pathway.</w:t>
      </w:r>
    </w:p>
    <w:p>
      <w:r>
        <w:t>Control Cascade: IoT sensors → predictive AI controller → demand shifting / precision throttling → thermal-aware workload scheduling. This is the optimization pathway.</w:t>
      </w:r>
    </w:p>
    <w:p>
      <w:pPr>
        <w:pStyle w:val="Heading1"/>
      </w:pPr>
      <w:r>
        <w:t>5. Midwest-Specific Optimization Parameters</w:t>
      </w:r>
    </w:p>
    <w:p>
      <w:r>
        <w:t>Indiana/Midwest deployment (Node Zero) benefits from specific climate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Indiana Value</w:t>
            </w:r>
          </w:p>
        </w:tc>
        <w:tc>
          <w:tcPr>
            <w:tcW w:type="dxa" w:w="2880"/>
          </w:tcPr>
          <w:p>
            <w:r>
              <w:t>Implication</w:t>
            </w:r>
          </w:p>
        </w:tc>
      </w:tr>
      <w:tr>
        <w:tc>
          <w:tcPr>
            <w:tcW w:type="dxa" w:w="2880"/>
          </w:tcPr>
          <w:p>
            <w:r>
              <w:t>Annual humidity</w:t>
            </w:r>
          </w:p>
        </w:tc>
        <w:tc>
          <w:tcPr>
            <w:tcW w:type="dxa" w:w="2880"/>
          </w:tcPr>
          <w:p>
            <w:r>
              <w:t>65–80% avg RH</w:t>
            </w:r>
          </w:p>
        </w:tc>
        <w:tc>
          <w:tcPr>
            <w:tcW w:type="dxa" w:w="2880"/>
          </w:tcPr>
          <w:p>
            <w:r>
              <w:t>Excellent vapor recovery potential (M1.1/M1.2)</w:t>
            </w:r>
          </w:p>
        </w:tc>
      </w:tr>
      <w:tr>
        <w:tc>
          <w:tcPr>
            <w:tcW w:type="dxa" w:w="2880"/>
          </w:tcPr>
          <w:p>
            <w:r>
              <w:t>Heating degree days</w:t>
            </w:r>
          </w:p>
        </w:tc>
        <w:tc>
          <w:tcPr>
            <w:tcW w:type="dxa" w:w="2880"/>
          </w:tcPr>
          <w:p>
            <w:r>
              <w:t>5,500–6,000 HDD</w:t>
            </w:r>
          </w:p>
        </w:tc>
        <w:tc>
          <w:tcPr>
            <w:tcW w:type="dxa" w:w="2880"/>
          </w:tcPr>
          <w:p>
            <w:r>
              <w:t>Strong demand for waste heat offtake (M1.3)</w:t>
            </w:r>
          </w:p>
        </w:tc>
      </w:tr>
      <w:tr>
        <w:tc>
          <w:tcPr>
            <w:tcW w:type="dxa" w:w="2880"/>
          </w:tcPr>
          <w:p>
            <w:r>
              <w:t>Agricultural adjacency</w:t>
            </w:r>
          </w:p>
        </w:tc>
        <w:tc>
          <w:tcPr>
            <w:tcW w:type="dxa" w:w="2880"/>
          </w:tcPr>
          <w:p>
            <w:r>
              <w:t>85%+ farmland within 10km of major corridors</w:t>
            </w:r>
          </w:p>
        </w:tc>
        <w:tc>
          <w:tcPr>
            <w:tcW w:type="dxa" w:w="2880"/>
          </w:tcPr>
          <w:p>
            <w:r>
              <w:t>Immediate CEA partnership opportunity</w:t>
            </w:r>
          </w:p>
        </w:tc>
      </w:tr>
      <w:tr>
        <w:tc>
          <w:tcPr>
            <w:tcW w:type="dxa" w:w="2880"/>
          </w:tcPr>
          <w:p>
            <w:r>
              <w:t>Cooling degree days</w:t>
            </w:r>
          </w:p>
        </w:tc>
        <w:tc>
          <w:tcPr>
            <w:tcW w:type="dxa" w:w="2880"/>
          </w:tcPr>
          <w:p>
            <w:r>
              <w:t>800–1,200 CDD</w:t>
            </w:r>
          </w:p>
        </w:tc>
        <w:tc>
          <w:tcPr>
            <w:tcW w:type="dxa" w:w="2880"/>
          </w:tcPr>
          <w:p>
            <w:r>
              <w:t>Moderate evaporative demand; hybrid wet-dry effective</w:t>
            </w:r>
          </w:p>
        </w:tc>
      </w:tr>
      <w:tr>
        <w:tc>
          <w:tcPr>
            <w:tcW w:type="dxa" w:w="2880"/>
          </w:tcPr>
          <w:p>
            <w:r>
              <w:t>Annual rainfall</w:t>
            </w:r>
          </w:p>
        </w:tc>
        <w:tc>
          <w:tcPr>
            <w:tcW w:type="dxa" w:w="2880"/>
          </w:tcPr>
          <w:p>
            <w:r>
              <w:t>38–42 inches, well-distributed</w:t>
            </w:r>
          </w:p>
        </w:tc>
        <w:tc>
          <w:tcPr>
            <w:tcW w:type="dxa" w:w="2880"/>
          </w:tcPr>
          <w:p>
            <w:r>
              <w:t>Reliable rainwater harvesting (M4.2)</w:t>
            </w:r>
          </w:p>
        </w:tc>
      </w:tr>
      <w:tr>
        <w:tc>
          <w:tcPr>
            <w:tcW w:type="dxa" w:w="2880"/>
          </w:tcPr>
          <w:p>
            <w:r>
              <w:t>Aquifer characteristics</w:t>
            </w:r>
          </w:p>
        </w:tc>
        <w:tc>
          <w:tcPr>
            <w:tcW w:type="dxa" w:w="2880"/>
          </w:tcPr>
          <w:p>
            <w:r>
              <w:t>Glacial till, moderate yield</w:t>
            </w:r>
          </w:p>
        </w:tc>
        <w:tc>
          <w:tcPr>
            <w:tcW w:type="dxa" w:w="2880"/>
          </w:tcPr>
          <w:p>
            <w:r>
              <w:t>ATES feasible with geological survey (M1.7)</w:t>
            </w:r>
          </w:p>
        </w:tc>
      </w:tr>
      <w:tr>
        <w:tc>
          <w:tcPr>
            <w:tcW w:type="dxa" w:w="2880"/>
          </w:tcPr>
          <w:p>
            <w:r>
              <w:t>Regulatory environment</w:t>
            </w:r>
          </w:p>
        </w:tc>
        <w:tc>
          <w:tcPr>
            <w:tcW w:type="dxa" w:w="2880"/>
          </w:tcPr>
          <w:p>
            <w:r>
              <w:t>Indiana utility commission, moderate</w:t>
            </w:r>
          </w:p>
        </w:tc>
        <w:tc>
          <w:tcPr>
            <w:tcW w:type="dxa" w:w="2880"/>
          </w:tcPr>
          <w:p>
            <w:r>
              <w:t>Thermal sales framework needed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