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ORCS Regenerative Impact Models</w:t>
      </w:r>
    </w:p>
    <w:p>
      <w:r>
        <w:t>Net-Positive Water, Agricultural Integration &amp; Community Economic Benefit Projections</w:t>
      </w:r>
    </w:p>
    <w:p>
      <w:r>
        <w:t>Atlas Lattice Foundation | April 2026</w:t>
      </w:r>
    </w:p>
    <w:p/>
    <w:p>
      <w:pPr>
        <w:pStyle w:val="Heading1"/>
      </w:pPr>
      <w:r>
        <w:t>1. Net-Positive Water Use Framework</w:t>
      </w:r>
    </w:p>
    <w:p>
      <w:r>
        <w:t>The ORCS framework introduces the concept of Watershed Days — a metric measuring how many days per year a facility returns more water to the local watershed than it consumes. A facility achieving +365 Watershed Days operates as a net water contributor year-round.</w:t>
      </w:r>
    </w:p>
    <w:p>
      <w:pPr>
        <w:pStyle w:val="Heading2"/>
      </w:pPr>
      <w:r>
        <w:t>1.1 Water Balance Model for Indiana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Annual Volume (Gal)</w:t>
            </w:r>
          </w:p>
        </w:tc>
        <w:tc>
          <w:tcPr>
            <w:tcW w:type="dxa" w:w="2160"/>
          </w:tcPr>
          <w:p>
            <w:r>
              <w:t>Direction</w:t>
            </w:r>
          </w:p>
        </w:tc>
        <w:tc>
          <w:tcPr>
            <w:tcW w:type="dxa" w:w="2160"/>
          </w:tcPr>
          <w:p>
            <w:r>
              <w:t>Module</w:t>
            </w:r>
          </w:p>
        </w:tc>
      </w:tr>
      <w:tr>
        <w:tc>
          <w:tcPr>
            <w:tcW w:type="dxa" w:w="2160"/>
          </w:tcPr>
          <w:p>
            <w:r>
              <w:t>Evaporative cooling consumption</w:t>
            </w:r>
          </w:p>
        </w:tc>
        <w:tc>
          <w:tcPr>
            <w:tcW w:type="dxa" w:w="2160"/>
          </w:tcPr>
          <w:p>
            <w:r>
              <w:t>15–25M</w:t>
            </w:r>
          </w:p>
        </w:tc>
        <w:tc>
          <w:tcPr>
            <w:tcW w:type="dxa" w:w="2160"/>
          </w:tcPr>
          <w:p>
            <w:r>
              <w:t>Consumed</w:t>
            </w:r>
          </w:p>
        </w:tc>
        <w:tc>
          <w:tcPr>
            <w:tcW w:type="dxa" w:w="2160"/>
          </w:tcPr>
          <w:p>
            <w:r>
              <w:t>Baseline</w:t>
            </w:r>
          </w:p>
        </w:tc>
      </w:tr>
      <w:tr>
        <w:tc>
          <w:tcPr>
            <w:tcW w:type="dxa" w:w="2160"/>
          </w:tcPr>
          <w:p>
            <w:r>
              <w:t>Vapor recovery (M1.1 retrofit)</w:t>
            </w:r>
          </w:p>
        </w:tc>
        <w:tc>
          <w:tcPr>
            <w:tcW w:type="dxa" w:w="2160"/>
          </w:tcPr>
          <w:p>
            <w:r>
              <w:t>2–4M</w:t>
            </w:r>
          </w:p>
        </w:tc>
        <w:tc>
          <w:tcPr>
            <w:tcW w:type="dxa" w:w="2160"/>
          </w:tcPr>
          <w:p>
            <w:r>
              <w:t>Recovered</w:t>
            </w:r>
          </w:p>
        </w:tc>
        <w:tc>
          <w:tcPr>
            <w:tcW w:type="dxa" w:w="2160"/>
          </w:tcPr>
          <w:p>
            <w:r>
              <w:t>M1.1</w:t>
            </w:r>
          </w:p>
        </w:tc>
      </w:tr>
      <w:tr>
        <w:tc>
          <w:tcPr>
            <w:tcW w:type="dxa" w:w="2160"/>
          </w:tcPr>
          <w:p>
            <w:r>
              <w:t>Rainwater harvesting (40" rainfall, 500k sqft)</w:t>
            </w:r>
          </w:p>
        </w:tc>
        <w:tc>
          <w:tcPr>
            <w:tcW w:type="dxa" w:w="2160"/>
          </w:tcPr>
          <w:p>
            <w:r>
              <w:t>12M</w:t>
            </w:r>
          </w:p>
        </w:tc>
        <w:tc>
          <w:tcPr>
            <w:tcW w:type="dxa" w:w="2160"/>
          </w:tcPr>
          <w:p>
            <w:r>
              <w:t>Captured</w:t>
            </w:r>
          </w:p>
        </w:tc>
        <w:tc>
          <w:tcPr>
            <w:tcW w:type="dxa" w:w="2160"/>
          </w:tcPr>
          <w:p>
            <w:r>
              <w:t>M4.2</w:t>
            </w:r>
          </w:p>
        </w:tc>
      </w:tr>
      <w:tr>
        <w:tc>
          <w:tcPr>
            <w:tcW w:type="dxa" w:w="2160"/>
          </w:tcPr>
          <w:p>
            <w:r>
              <w:t>Condensate from humidity (65% RH)</w:t>
            </w:r>
          </w:p>
        </w:tc>
        <w:tc>
          <w:tcPr>
            <w:tcW w:type="dxa" w:w="2160"/>
          </w:tcPr>
          <w:p>
            <w:r>
              <w:t>3–6M</w:t>
            </w:r>
          </w:p>
        </w:tc>
        <w:tc>
          <w:tcPr>
            <w:tcW w:type="dxa" w:w="2160"/>
          </w:tcPr>
          <w:p>
            <w:r>
              <w:t>Recovered</w:t>
            </w:r>
          </w:p>
        </w:tc>
        <w:tc>
          <w:tcPr>
            <w:tcW w:type="dxa" w:w="2160"/>
          </w:tcPr>
          <w:p>
            <w:r>
              <w:t>M1.1/M1.2</w:t>
            </w:r>
          </w:p>
        </w:tc>
      </w:tr>
      <w:tr>
        <w:tc>
          <w:tcPr>
            <w:tcW w:type="dxa" w:w="2160"/>
          </w:tcPr>
          <w:p>
            <w:r>
              <w:t>Greywater integration</w:t>
            </w:r>
          </w:p>
        </w:tc>
        <w:tc>
          <w:tcPr>
            <w:tcW w:type="dxa" w:w="2160"/>
          </w:tcPr>
          <w:p>
            <w:r>
              <w:t>10–15M</w:t>
            </w:r>
          </w:p>
        </w:tc>
        <w:tc>
          <w:tcPr>
            <w:tcW w:type="dxa" w:w="2160"/>
          </w:tcPr>
          <w:p>
            <w:r>
              <w:t>Substituted</w:t>
            </w:r>
          </w:p>
        </w:tc>
        <w:tc>
          <w:tcPr>
            <w:tcW w:type="dxa" w:w="2160"/>
          </w:tcPr>
          <w:p>
            <w:r>
              <w:t>M4.1</w:t>
            </w:r>
          </w:p>
        </w:tc>
      </w:tr>
      <w:tr>
        <w:tc>
          <w:tcPr>
            <w:tcW w:type="dxa" w:w="2160"/>
          </w:tcPr>
          <w:p>
            <w:r>
              <w:t>Blowdown recovery (electrolytic + FO)</w:t>
            </w:r>
          </w:p>
        </w:tc>
        <w:tc>
          <w:tcPr>
            <w:tcW w:type="dxa" w:w="2160"/>
          </w:tcPr>
          <w:p>
            <w:r>
              <w:t>5–8M</w:t>
            </w:r>
          </w:p>
        </w:tc>
        <w:tc>
          <w:tcPr>
            <w:tcW w:type="dxa" w:w="2160"/>
          </w:tcPr>
          <w:p>
            <w:r>
              <w:t>Recovered</w:t>
            </w:r>
          </w:p>
        </w:tc>
        <w:tc>
          <w:tcPr>
            <w:tcW w:type="dxa" w:w="2160"/>
          </w:tcPr>
          <w:p>
            <w:r>
              <w:t>M3.1/M3.4</w:t>
            </w:r>
          </w:p>
        </w:tc>
      </w:tr>
      <w:tr>
        <w:tc>
          <w:tcPr>
            <w:tcW w:type="dxa" w:w="2160"/>
          </w:tcPr>
          <w:p>
            <w:r>
              <w:t>Net balance (conservative)</w:t>
            </w:r>
          </w:p>
        </w:tc>
        <w:tc>
          <w:tcPr>
            <w:tcW w:type="dxa" w:w="2160"/>
          </w:tcPr>
          <w:p>
            <w:r>
              <w:t>+7–20M</w:t>
            </w:r>
          </w:p>
        </w:tc>
        <w:tc>
          <w:tcPr>
            <w:tcW w:type="dxa" w:w="2160"/>
          </w:tcPr>
          <w:p>
            <w:r>
              <w:t>Net positive</w:t>
            </w:r>
          </w:p>
        </w:tc>
        <w:tc>
          <w:tcPr>
            <w:tcW w:type="dxa" w:w="2160"/>
          </w:tcPr>
          <w:p>
            <w:r>
              <w:t>Stacked</w:t>
            </w:r>
          </w:p>
        </w:tc>
      </w:tr>
    </w:tbl>
    <w:p>
      <w:r>
        <w:t>Conservative modeling shows that a fully stacked Indiana facility can achieve net-positive water status, generating 7–20 million gallons annually beyond its own consumption. This surplus flows to agricultural partners and aquifer recharge.</w:t>
      </w:r>
    </w:p>
    <w:p>
      <w:pPr>
        <w:pStyle w:val="Heading2"/>
      </w:pPr>
      <w:r>
        <w:t>1.2 Drought-Index Weighting</w:t>
      </w:r>
    </w:p>
    <w:p>
      <w:r>
        <w:t>Qwen3 contributed a refinement: Watershed Days should be weighted by local drought severity. A gallon returned during drought conditions has higher ecological value than during normal precipitation. The Drought-Index Weighted Watershed Days metric applies a multiplier of 1.0x (normal) to 3.0x (severe drought) based on US Drought Monitor classification.</w:t>
      </w:r>
    </w:p>
    <w:p>
      <w:pPr>
        <w:pStyle w:val="Heading2"/>
      </w:pPr>
      <w:r>
        <w:t>1.3 Equity-Weighted Watershed Days</w:t>
      </w:r>
    </w:p>
    <w:p>
      <w:r>
        <w:t>The Social Hydrology Multiplier (1.0–3.0x) weights water contributions by the vulnerability of downstream communities. Water returned to watersheds serving environmental justice communities receives higher credit, incentivizing facilities to prioritize water equity.</w:t>
      </w:r>
    </w:p>
    <w:p>
      <w:pPr>
        <w:pStyle w:val="Heading1"/>
      </w:pPr>
      <w:r>
        <w:t>2. Agricultural Integration Frameworks</w:t>
      </w:r>
    </w:p>
    <w:p>
      <w:pPr>
        <w:pStyle w:val="Heading2"/>
      </w:pPr>
      <w:r>
        <w:t>2.1 CEA Compatibility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Crop Type</w:t>
            </w:r>
          </w:p>
        </w:tc>
        <w:tc>
          <w:tcPr>
            <w:tcW w:type="dxa" w:w="1728"/>
          </w:tcPr>
          <w:p>
            <w:r>
              <w:t>Ideal Temp Range</w:t>
            </w:r>
          </w:p>
        </w:tc>
        <w:tc>
          <w:tcPr>
            <w:tcW w:type="dxa" w:w="1728"/>
          </w:tcPr>
          <w:p>
            <w:r>
              <w:t>Water Demand</w:t>
            </w:r>
          </w:p>
        </w:tc>
        <w:tc>
          <w:tcPr>
            <w:tcW w:type="dxa" w:w="1728"/>
          </w:tcPr>
          <w:p>
            <w:r>
              <w:t>Political Value</w:t>
            </w:r>
          </w:p>
        </w:tc>
        <w:tc>
          <w:tcPr>
            <w:tcW w:type="dxa" w:w="1728"/>
          </w:tcPr>
          <w:p>
            <w:r>
              <w:t>Revenue Potential</w:t>
            </w:r>
          </w:p>
        </w:tc>
      </w:tr>
      <w:tr>
        <w:tc>
          <w:tcPr>
            <w:tcW w:type="dxa" w:w="1728"/>
          </w:tcPr>
          <w:p>
            <w:r>
              <w:t>Leafy greens</w:t>
            </w:r>
          </w:p>
        </w:tc>
        <w:tc>
          <w:tcPr>
            <w:tcW w:type="dxa" w:w="1728"/>
          </w:tcPr>
          <w:p>
            <w:r>
              <w:t>60–75°F</w:t>
            </w:r>
          </w:p>
        </w:tc>
        <w:tc>
          <w:tcPr>
            <w:tcW w:type="dxa" w:w="1728"/>
          </w:tcPr>
          <w:p>
            <w:r>
              <w:t>Low</w:t>
            </w:r>
          </w:p>
        </w:tc>
        <w:tc>
          <w:tcPr>
            <w:tcW w:type="dxa" w:w="1728"/>
          </w:tcPr>
          <w:p>
            <w:r>
              <w:t>High (food security)</w:t>
            </w:r>
          </w:p>
        </w:tc>
        <w:tc>
          <w:tcPr>
            <w:tcW w:type="dxa" w:w="1728"/>
          </w:tcPr>
          <w:p>
            <w:r>
              <w:t>$15–25/sqft/yr</w:t>
            </w:r>
          </w:p>
        </w:tc>
      </w:tr>
      <w:tr>
        <w:tc>
          <w:tcPr>
            <w:tcW w:type="dxa" w:w="1728"/>
          </w:tcPr>
          <w:p>
            <w:r>
              <w:t>Fruiting crops (tomato, pepper)</w:t>
            </w:r>
          </w:p>
        </w:tc>
        <w:tc>
          <w:tcPr>
            <w:tcW w:type="dxa" w:w="1728"/>
          </w:tcPr>
          <w:p>
            <w:r>
              <w:t>65–85°F</w:t>
            </w:r>
          </w:p>
        </w:tc>
        <w:tc>
          <w:tcPr>
            <w:tcW w:type="dxa" w:w="1728"/>
          </w:tcPr>
          <w:p>
            <w:r>
              <w:t>Medium</w:t>
            </w:r>
          </w:p>
        </w:tc>
        <w:tc>
          <w:tcPr>
            <w:tcW w:type="dxa" w:w="1728"/>
          </w:tcPr>
          <w:p>
            <w:r>
              <w:t>High (local food)</w:t>
            </w:r>
          </w:p>
        </w:tc>
        <w:tc>
          <w:tcPr>
            <w:tcW w:type="dxa" w:w="1728"/>
          </w:tcPr>
          <w:p>
            <w:r>
              <w:t>$20–35/sqft/yr</w:t>
            </w:r>
          </w:p>
        </w:tc>
      </w:tr>
      <w:tr>
        <w:tc>
          <w:tcPr>
            <w:tcW w:type="dxa" w:w="1728"/>
          </w:tcPr>
          <w:p>
            <w:r>
              <w:t>Aquaculture (tilapia, eel)</w:t>
            </w:r>
          </w:p>
        </w:tc>
        <w:tc>
          <w:tcPr>
            <w:tcW w:type="dxa" w:w="1728"/>
          </w:tcPr>
          <w:p>
            <w:r>
              <w:t>75–85°F</w:t>
            </w:r>
          </w:p>
        </w:tc>
        <w:tc>
          <w:tcPr>
            <w:tcW w:type="dxa" w:w="1728"/>
          </w:tcPr>
          <w:p>
            <w:r>
              <w:t>High (recirculating)</w:t>
            </w:r>
          </w:p>
        </w:tc>
        <w:tc>
          <w:tcPr>
            <w:tcW w:type="dxa" w:w="1728"/>
          </w:tcPr>
          <w:p>
            <w:r>
              <w:t>Very high (protein)</w:t>
            </w:r>
          </w:p>
        </w:tc>
        <w:tc>
          <w:tcPr>
            <w:tcW w:type="dxa" w:w="1728"/>
          </w:tcPr>
          <w:p>
            <w:r>
              <w:t>$8–15/sqft/yr</w:t>
            </w:r>
          </w:p>
        </w:tc>
      </w:tr>
      <w:tr>
        <w:tc>
          <w:tcPr>
            <w:tcW w:type="dxa" w:w="1728"/>
          </w:tcPr>
          <w:p>
            <w:r>
              <w:t>Mushroom cultivation</w:t>
            </w:r>
          </w:p>
        </w:tc>
        <w:tc>
          <w:tcPr>
            <w:tcW w:type="dxa" w:w="1728"/>
          </w:tcPr>
          <w:p>
            <w:r>
              <w:t>55–65°F</w:t>
            </w:r>
          </w:p>
        </w:tc>
        <w:tc>
          <w:tcPr>
            <w:tcW w:type="dxa" w:w="1728"/>
          </w:tcPr>
          <w:p>
            <w:r>
              <w:t>Low</w:t>
            </w:r>
          </w:p>
        </w:tc>
        <w:tc>
          <w:tcPr>
            <w:tcW w:type="dxa" w:w="1728"/>
          </w:tcPr>
          <w:p>
            <w:r>
              <w:t>Medium</w:t>
            </w:r>
          </w:p>
        </w:tc>
        <w:tc>
          <w:tcPr>
            <w:tcW w:type="dxa" w:w="1728"/>
          </w:tcPr>
          <w:p>
            <w:r>
              <w:t>$25–40/sqft/yr</w:t>
            </w:r>
          </w:p>
        </w:tc>
      </w:tr>
      <w:tr>
        <w:tc>
          <w:tcPr>
            <w:tcW w:type="dxa" w:w="1728"/>
          </w:tcPr>
          <w:p>
            <w:r>
              <w:t>Hemp/fiber crops</w:t>
            </w:r>
          </w:p>
        </w:tc>
        <w:tc>
          <w:tcPr>
            <w:tcW w:type="dxa" w:w="1728"/>
          </w:tcPr>
          <w:p>
            <w:r>
              <w:t>70–85°F</w:t>
            </w:r>
          </w:p>
        </w:tc>
        <w:tc>
          <w:tcPr>
            <w:tcW w:type="dxa" w:w="1728"/>
          </w:tcPr>
          <w:p>
            <w:r>
              <w:t>Medium</w:t>
            </w:r>
          </w:p>
        </w:tc>
        <w:tc>
          <w:tcPr>
            <w:tcW w:type="dxa" w:w="1728"/>
          </w:tcPr>
          <w:p>
            <w:r>
              <w:t>Medium (industrial)</w:t>
            </w:r>
          </w:p>
        </w:tc>
        <w:tc>
          <w:tcPr>
            <w:tcW w:type="dxa" w:w="1728"/>
          </w:tcPr>
          <w:p>
            <w:r>
              <w:t>$5–10/sqft/yr</w:t>
            </w:r>
          </w:p>
        </w:tc>
      </w:tr>
    </w:tbl>
    <w:p>
      <w:r>
        <w:t>The thermal output of a typical data center (80–120°F waste heat) maps directly to the needs of controlled environment agriculture. The White Data Center in Bibai, Japan demonstrates this at scale: waste heat at 33°C supports an eel farm producing 300,000 eels per harvest cycle.</w:t>
      </w:r>
    </w:p>
    <w:p>
      <w:pPr>
        <w:pStyle w:val="Heading2"/>
      </w:pPr>
      <w:r>
        <w:t>2.2 Local Farming Partnership Model</w:t>
      </w:r>
    </w:p>
    <w:p>
      <w:r>
        <w:t>The partnership model operates on three tiers: Tier 1 (Direct thermal offtake) provides waste heat to adjacent greenhouses via closed-loop heat exchangers. Tier 2 (Water sharing) routes treated condensate and surplus water to irrigation systems. Tier 3 (Community benefit) creates jobs, provides fresh food access, and generates community water credits.</w:t>
      </w:r>
    </w:p>
    <w:p>
      <w:r>
        <w:t>For Indiana specifically, the agricultural integration opportunity is exceptional: 85%+ of major infrastructure corridors are within 10km of active farmland. The state's existing agricultural cooperative infrastructure provides ready-made partnership frameworks.</w:t>
      </w:r>
    </w:p>
    <w:p>
      <w:pPr>
        <w:pStyle w:val="Heading1"/>
      </w:pPr>
      <w:r>
        <w:t>3. Community Economic Benefit Projections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Benefit Category</w:t>
            </w:r>
          </w:p>
        </w:tc>
        <w:tc>
          <w:tcPr>
            <w:tcW w:type="dxa" w:w="2880"/>
          </w:tcPr>
          <w:p>
            <w:r>
              <w:t>Annual Value (per 50MW facility)</w:t>
            </w:r>
          </w:p>
        </w:tc>
        <w:tc>
          <w:tcPr>
            <w:tcW w:type="dxa" w:w="2880"/>
          </w:tcPr>
          <w:p>
            <w:r>
              <w:t>Beneficiary</w:t>
            </w:r>
          </w:p>
        </w:tc>
      </w:tr>
      <w:tr>
        <w:tc>
          <w:tcPr>
            <w:tcW w:type="dxa" w:w="2880"/>
          </w:tcPr>
          <w:p>
            <w:r>
              <w:t>Direct employment (facility)</w:t>
            </w:r>
          </w:p>
        </w:tc>
        <w:tc>
          <w:tcPr>
            <w:tcW w:type="dxa" w:w="2880"/>
          </w:tcPr>
          <w:p>
            <w:r>
              <w:t>$8–12M payroll</w:t>
            </w:r>
          </w:p>
        </w:tc>
        <w:tc>
          <w:tcPr>
            <w:tcW w:type="dxa" w:w="2880"/>
          </w:tcPr>
          <w:p>
            <w:r>
              <w:t>Local workforce</w:t>
            </w:r>
          </w:p>
        </w:tc>
      </w:tr>
      <w:tr>
        <w:tc>
          <w:tcPr>
            <w:tcW w:type="dxa" w:w="2880"/>
          </w:tcPr>
          <w:p>
            <w:r>
              <w:t>Agricultural jobs (CEA)</w:t>
            </w:r>
          </w:p>
        </w:tc>
        <w:tc>
          <w:tcPr>
            <w:tcW w:type="dxa" w:w="2880"/>
          </w:tcPr>
          <w:p>
            <w:r>
              <w:t>$2–4M payroll</w:t>
            </w:r>
          </w:p>
        </w:tc>
        <w:tc>
          <w:tcPr>
            <w:tcW w:type="dxa" w:w="2880"/>
          </w:tcPr>
          <w:p>
            <w:r>
              <w:t>Farming community</w:t>
            </w:r>
          </w:p>
        </w:tc>
      </w:tr>
      <w:tr>
        <w:tc>
          <w:tcPr>
            <w:tcW w:type="dxa" w:w="2880"/>
          </w:tcPr>
          <w:p>
            <w:r>
              <w:t>Thermal energy value</w:t>
            </w:r>
          </w:p>
        </w:tc>
        <w:tc>
          <w:tcPr>
            <w:tcW w:type="dxa" w:w="2880"/>
          </w:tcPr>
          <w:p>
            <w:r>
              <w:t>$1.5–3M</w:t>
            </w:r>
          </w:p>
        </w:tc>
        <w:tc>
          <w:tcPr>
            <w:tcW w:type="dxa" w:w="2880"/>
          </w:tcPr>
          <w:p>
            <w:r>
              <w:t>Agricultural partners</w:t>
            </w:r>
          </w:p>
        </w:tc>
      </w:tr>
      <w:tr>
        <w:tc>
          <w:tcPr>
            <w:tcW w:type="dxa" w:w="2880"/>
          </w:tcPr>
          <w:p>
            <w:r>
              <w:t>Water credit value</w:t>
            </w:r>
          </w:p>
        </w:tc>
        <w:tc>
          <w:tcPr>
            <w:tcW w:type="dxa" w:w="2880"/>
          </w:tcPr>
          <w:p>
            <w:r>
              <w:t>$0.5–1.5M</w:t>
            </w:r>
          </w:p>
        </w:tc>
        <w:tc>
          <w:tcPr>
            <w:tcW w:type="dxa" w:w="2880"/>
          </w:tcPr>
          <w:p>
            <w:r>
              <w:t>Watershed community</w:t>
            </w:r>
          </w:p>
        </w:tc>
      </w:tr>
      <w:tr>
        <w:tc>
          <w:tcPr>
            <w:tcW w:type="dxa" w:w="2880"/>
          </w:tcPr>
          <w:p>
            <w:r>
              <w:t>Property tax revenue</w:t>
            </w:r>
          </w:p>
        </w:tc>
        <w:tc>
          <w:tcPr>
            <w:tcW w:type="dxa" w:w="2880"/>
          </w:tcPr>
          <w:p>
            <w:r>
              <w:t>$3–5M</w:t>
            </w:r>
          </w:p>
        </w:tc>
        <w:tc>
          <w:tcPr>
            <w:tcW w:type="dxa" w:w="2880"/>
          </w:tcPr>
          <w:p>
            <w:r>
              <w:t>Local government</w:t>
            </w:r>
          </w:p>
        </w:tc>
      </w:tr>
      <w:tr>
        <w:tc>
          <w:tcPr>
            <w:tcW w:type="dxa" w:w="2880"/>
          </w:tcPr>
          <w:p>
            <w:r>
              <w:t>Reduced food transport costs</w:t>
            </w:r>
          </w:p>
        </w:tc>
        <w:tc>
          <w:tcPr>
            <w:tcW w:type="dxa" w:w="2880"/>
          </w:tcPr>
          <w:p>
            <w:r>
              <w:t>$0.3–0.8M</w:t>
            </w:r>
          </w:p>
        </w:tc>
        <w:tc>
          <w:tcPr>
            <w:tcW w:type="dxa" w:w="2880"/>
          </w:tcPr>
          <w:p>
            <w:r>
              <w:t>Regional consumers</w:t>
            </w:r>
          </w:p>
        </w:tc>
      </w:tr>
      <w:tr>
        <w:tc>
          <w:tcPr>
            <w:tcW w:type="dxa" w:w="2880"/>
          </w:tcPr>
          <w:p>
            <w:r>
              <w:t>Carbon credit revenue</w:t>
            </w:r>
          </w:p>
        </w:tc>
        <w:tc>
          <w:tcPr>
            <w:tcW w:type="dxa" w:w="2880"/>
          </w:tcPr>
          <w:p>
            <w:r>
              <w:t>$1–2M</w:t>
            </w:r>
          </w:p>
        </w:tc>
        <w:tc>
          <w:tcPr>
            <w:tcW w:type="dxa" w:w="2880"/>
          </w:tcPr>
          <w:p>
            <w:r>
              <w:t>Facility operator (shared)</w:t>
            </w:r>
          </w:p>
        </w:tc>
      </w:tr>
      <w:tr>
        <w:tc>
          <w:tcPr>
            <w:tcW w:type="dxa" w:w="2880"/>
          </w:tcPr>
          <w:p>
            <w:r>
              <w:t>Total annual community impact</w:t>
            </w:r>
          </w:p>
        </w:tc>
        <w:tc>
          <w:tcPr>
            <w:tcW w:type="dxa" w:w="2880"/>
          </w:tcPr>
          <w:p>
            <w:r>
              <w:t>$17–29M</w:t>
            </w:r>
          </w:p>
        </w:tc>
        <w:tc>
          <w:tcPr>
            <w:tcW w:type="dxa" w:w="2880"/>
          </w:tcPr>
          <w:p>
            <w:r>
              <w:t>Regional economy</w:t>
            </w:r>
          </w:p>
        </w:tc>
      </w:tr>
    </w:tbl>
    <w:p>
      <w:r>
        <w:t>These projections are scenario-based and require validation through engineering feasibility studies and actual operational data. They represent the economic case for regenerative infrastructure as a community development strategy, not just an environmental compliance measure.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