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ORCS Performance Metrics &amp; Verification Framework</w:t>
      </w:r>
    </w:p>
    <w:p>
      <w:r>
        <w:t>Compound Efficiency Gains, Implementation Timelines &amp; Risk Assessment</w:t>
      </w:r>
    </w:p>
    <w:p>
      <w:r>
        <w:t>Atlas Lattice Foundation | April 2026</w:t>
      </w:r>
    </w:p>
    <w:p/>
    <w:p>
      <w:pPr>
        <w:pStyle w:val="Heading1"/>
      </w:pPr>
      <w:r>
        <w:t>1. Compound Efficiency Gains Across Modules</w:t>
      </w:r>
    </w:p>
    <w:p>
      <w:r>
        <w:t>A critical insight from the nine-model convergence: modules compound multiplicatively on the remaining water budget. Each module operates on what previous modules have left, meaning the order of deployment matters and total gains exceed simple addition.</w:t>
      </w:r>
    </w:p>
    <w:p>
      <w:pPr>
        <w:pStyle w:val="Heading2"/>
      </w:pPr>
      <w:r>
        <w:t>1.1 Stacking Example: Temperate Climate (Indiana)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Reduction</w:t>
            </w:r>
          </w:p>
        </w:tc>
        <w:tc>
          <w:tcPr>
            <w:tcW w:type="dxa" w:w="1728"/>
          </w:tcPr>
          <w:p>
            <w:r>
              <w:t>Remaining Budget</w:t>
            </w:r>
          </w:p>
        </w:tc>
        <w:tc>
          <w:tcPr>
            <w:tcW w:type="dxa" w:w="1728"/>
          </w:tcPr>
          <w:p>
            <w:r>
              <w:t>Cumulative Savings</w:t>
            </w:r>
          </w:p>
        </w:tc>
      </w:tr>
      <w:tr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M2.1 Hybrid wet-dry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M2.3 Raised supply air temp</w:t>
            </w:r>
          </w:p>
        </w:tc>
        <w:tc>
          <w:tcPr>
            <w:tcW w:type="dxa" w:w="1728"/>
          </w:tcPr>
          <w:p>
            <w:r>
              <w:t>5% of remaining</w:t>
            </w:r>
          </w:p>
        </w:tc>
        <w:tc>
          <w:tcPr>
            <w:tcW w:type="dxa" w:w="1728"/>
          </w:tcPr>
          <w:p>
            <w:r>
              <w:t>47.5%</w:t>
            </w:r>
          </w:p>
        </w:tc>
        <w:tc>
          <w:tcPr>
            <w:tcW w:type="dxa" w:w="1728"/>
          </w:tcPr>
          <w:p>
            <w:r>
              <w:t>52.5%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M3.1 Electrolytic scale (10x CoC)</w:t>
            </w:r>
          </w:p>
        </w:tc>
        <w:tc>
          <w:tcPr>
            <w:tcW w:type="dxa" w:w="1728"/>
          </w:tcPr>
          <w:p>
            <w:r>
              <w:t>60% of blowdown</w:t>
            </w:r>
          </w:p>
        </w:tc>
        <w:tc>
          <w:tcPr>
            <w:tcW w:type="dxa" w:w="1728"/>
          </w:tcPr>
          <w:p>
            <w:r>
              <w:t>43%</w:t>
            </w:r>
          </w:p>
        </w:tc>
        <w:tc>
          <w:tcPr>
            <w:tcW w:type="dxa" w:w="1728"/>
          </w:tcPr>
          <w:p>
            <w:r>
              <w:t>57%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M4.2 Rainwater harvesting</w:t>
            </w:r>
          </w:p>
        </w:tc>
        <w:tc>
          <w:tcPr>
            <w:tcW w:type="dxa" w:w="1728"/>
          </w:tcPr>
          <w:p>
            <w:r>
              <w:t>Substitutes 12M gal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65%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M1.1 Vapor recovery</w:t>
            </w:r>
          </w:p>
        </w:tc>
        <w:tc>
          <w:tcPr>
            <w:tcW w:type="dxa" w:w="1728"/>
          </w:tcPr>
          <w:p>
            <w:r>
              <w:t>10% of evaporative</w:t>
            </w:r>
          </w:p>
        </w:tc>
        <w:tc>
          <w:tcPr>
            <w:tcW w:type="dxa" w:w="1728"/>
          </w:tcPr>
          <w:p>
            <w:r>
              <w:t>31.5%</w:t>
            </w:r>
          </w:p>
        </w:tc>
        <w:tc>
          <w:tcPr>
            <w:tcW w:type="dxa" w:w="1728"/>
          </w:tcPr>
          <w:p>
            <w:r>
              <w:t>68.5%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M4.1 Greywater integration</w:t>
            </w:r>
          </w:p>
        </w:tc>
        <w:tc>
          <w:tcPr>
            <w:tcW w:type="dxa" w:w="1728"/>
          </w:tcPr>
          <w:p>
            <w:r>
              <w:t>Substitutes remaining</w:t>
            </w:r>
          </w:p>
        </w:tc>
        <w:tc>
          <w:tcPr>
            <w:tcW w:type="dxa" w:w="1728"/>
          </w:tcPr>
          <w:p>
            <w:r>
              <w:t>5–10%</w:t>
            </w:r>
          </w:p>
        </w:tc>
        <w:tc>
          <w:tcPr>
            <w:tcW w:type="dxa" w:w="1728"/>
          </w:tcPr>
          <w:p>
            <w:r>
              <w:t>90–95%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M1.3 CEA thermal offtake</w:t>
            </w:r>
          </w:p>
        </w:tc>
        <w:tc>
          <w:tcPr>
            <w:tcW w:type="dxa" w:w="1728"/>
          </w:tcPr>
          <w:p>
            <w:r>
              <w:t>Flips ledger</w:t>
            </w:r>
          </w:p>
        </w:tc>
        <w:tc>
          <w:tcPr>
            <w:tcW w:type="dxa" w:w="1728"/>
          </w:tcPr>
          <w:p>
            <w:r>
              <w:t>Net positive</w:t>
            </w:r>
          </w:p>
        </w:tc>
        <w:tc>
          <w:tcPr>
            <w:tcW w:type="dxa" w:w="1728"/>
          </w:tcPr>
          <w:p>
            <w:r>
              <w:t>&gt;100%</w:t>
            </w:r>
          </w:p>
        </w:tc>
      </w:tr>
    </w:tbl>
    <w:p>
      <w:r>
        <w:t>This stacking sequence demonstrates how a facility can move from baseline to net-positive through incremental module deployment. The final step (M1.3) is the keystone that transforms the facility from a water consumer to a water contributor.</w:t>
      </w:r>
    </w:p>
    <w:p>
      <w:pPr>
        <w:pStyle w:val="Heading1"/>
      </w:pPr>
      <w:r>
        <w:t>2. Core Metrics</w:t>
      </w:r>
    </w:p>
    <w:p>
      <w:pPr>
        <w:pStyle w:val="Heading2"/>
      </w:pPr>
      <w:r>
        <w:t>2.1 Primary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Watershed Days</w:t>
            </w:r>
          </w:p>
        </w:tc>
        <w:tc>
          <w:tcPr>
            <w:tcW w:type="dxa" w:w="2160"/>
          </w:tcPr>
          <w:p>
            <w:r>
              <w:t>Days/year facility is net water positive</w:t>
            </w:r>
          </w:p>
        </w:tc>
        <w:tc>
          <w:tcPr>
            <w:tcW w:type="dxa" w:w="2160"/>
          </w:tcPr>
          <w:p>
            <w:r>
              <w:t>+365</w:t>
            </w:r>
          </w:p>
        </w:tc>
        <w:tc>
          <w:tcPr>
            <w:tcW w:type="dxa" w:w="2160"/>
          </w:tcPr>
          <w:p>
            <w:r>
              <w:t>ORCS Council</w:t>
            </w:r>
          </w:p>
        </w:tc>
      </w:tr>
      <w:tr>
        <w:tc>
          <w:tcPr>
            <w:tcW w:type="dxa" w:w="2160"/>
          </w:tcPr>
          <w:p>
            <w:r>
              <w:t>WUE (Water Usage Effectiveness)</w:t>
            </w:r>
          </w:p>
        </w:tc>
        <w:tc>
          <w:tcPr>
            <w:tcW w:type="dxa" w:w="2160"/>
          </w:tcPr>
          <w:p>
            <w:r>
              <w:t>Annual water use / IT equipment energy</w:t>
            </w:r>
          </w:p>
        </w:tc>
        <w:tc>
          <w:tcPr>
            <w:tcW w:type="dxa" w:w="2160"/>
          </w:tcPr>
          <w:p>
            <w:r>
              <w:t>&lt;0.5 L/kWh</w:t>
            </w:r>
          </w:p>
        </w:tc>
        <w:tc>
          <w:tcPr>
            <w:tcW w:type="dxa" w:w="2160"/>
          </w:tcPr>
          <w:p>
            <w:r>
              <w:t>The Green Grid</w:t>
            </w:r>
          </w:p>
        </w:tc>
      </w:tr>
      <w:tr>
        <w:tc>
          <w:tcPr>
            <w:tcW w:type="dxa" w:w="2160"/>
          </w:tcPr>
          <w:p>
            <w:r>
              <w:t>Thermal Utilization Rate</w:t>
            </w:r>
          </w:p>
        </w:tc>
        <w:tc>
          <w:tcPr>
            <w:tcW w:type="dxa" w:w="2160"/>
          </w:tcPr>
          <w:p>
            <w:r>
              <w:t>% waste heat productively used</w:t>
            </w:r>
          </w:p>
        </w:tc>
        <w:tc>
          <w:tcPr>
            <w:tcW w:type="dxa" w:w="2160"/>
          </w:tcPr>
          <w:p>
            <w:r>
              <w:t>&gt;60%</w:t>
            </w:r>
          </w:p>
        </w:tc>
        <w:tc>
          <w:tcPr>
            <w:tcW w:type="dxa" w:w="2160"/>
          </w:tcPr>
          <w:p>
            <w:r>
              <w:t>ORCS Council</w:t>
            </w:r>
          </w:p>
        </w:tc>
      </w:tr>
      <w:tr>
        <w:tc>
          <w:tcPr>
            <w:tcW w:type="dxa" w:w="2160"/>
          </w:tcPr>
          <w:p>
            <w:r>
              <w:t>Community Benefit Index</w:t>
            </w:r>
          </w:p>
        </w:tc>
        <w:tc>
          <w:tcPr>
            <w:tcW w:type="dxa" w:w="2160"/>
          </w:tcPr>
          <w:p>
            <w:r>
              <w:t>Composite of jobs, food, water, tax</w:t>
            </w:r>
          </w:p>
        </w:tc>
        <w:tc>
          <w:tcPr>
            <w:tcW w:type="dxa" w:w="2160"/>
          </w:tcPr>
          <w:p>
            <w:r>
              <w:t>&gt;$15M/yr per 50MW</w:t>
            </w:r>
          </w:p>
        </w:tc>
        <w:tc>
          <w:tcPr>
            <w:tcW w:type="dxa" w:w="2160"/>
          </w:tcPr>
          <w:p>
            <w:r>
              <w:t>ORCS Council</w:t>
            </w:r>
          </w:p>
        </w:tc>
      </w:tr>
      <w:tr>
        <w:tc>
          <w:tcPr>
            <w:tcW w:type="dxa" w:w="2160"/>
          </w:tcPr>
          <w:p>
            <w:r>
              <w:t>Drought-Weighted Watershed Days</w:t>
            </w:r>
          </w:p>
        </w:tc>
        <w:tc>
          <w:tcPr>
            <w:tcW w:type="dxa" w:w="2160"/>
          </w:tcPr>
          <w:p>
            <w:r>
              <w:t>Watershed Days × drought severity</w:t>
            </w:r>
          </w:p>
        </w:tc>
        <w:tc>
          <w:tcPr>
            <w:tcW w:type="dxa" w:w="2160"/>
          </w:tcPr>
          <w:p>
            <w:r>
              <w:t>+500 (drought-adjusted)</w:t>
            </w:r>
          </w:p>
        </w:tc>
        <w:tc>
          <w:tcPr>
            <w:tcW w:type="dxa" w:w="2160"/>
          </w:tcPr>
          <w:p>
            <w:r>
              <w:t>Qwen3 contribution</w:t>
            </w:r>
          </w:p>
        </w:tc>
      </w:tr>
      <w:tr>
        <w:tc>
          <w:tcPr>
            <w:tcW w:type="dxa" w:w="2160"/>
          </w:tcPr>
          <w:p>
            <w:r>
              <w:t>Equity-Weighted Watershed Days</w:t>
            </w:r>
          </w:p>
        </w:tc>
        <w:tc>
          <w:tcPr>
            <w:tcW w:type="dxa" w:w="2160"/>
          </w:tcPr>
          <w:p>
            <w:r>
              <w:t>Watershed Days × social vulnerability</w:t>
            </w:r>
          </w:p>
        </w:tc>
        <w:tc>
          <w:tcPr>
            <w:tcW w:type="dxa" w:w="2160"/>
          </w:tcPr>
          <w:p>
            <w:r>
              <w:t>Context-dependent</w:t>
            </w:r>
          </w:p>
        </w:tc>
        <w:tc>
          <w:tcPr>
            <w:tcW w:type="dxa" w:w="2160"/>
          </w:tcPr>
          <w:p>
            <w:r>
              <w:t>Qwen3 contribution</w:t>
            </w:r>
          </w:p>
        </w:tc>
      </w:tr>
      <w:tr>
        <w:tc>
          <w:tcPr>
            <w:tcW w:type="dxa" w:w="2160"/>
          </w:tcPr>
          <w:p>
            <w:r>
              <w:t>Thermal Days</w:t>
            </w:r>
          </w:p>
        </w:tc>
        <w:tc>
          <w:tcPr>
            <w:tcW w:type="dxa" w:w="2160"/>
          </w:tcPr>
          <w:p>
            <w:r>
              <w:t>Days/year waste heat fully utilized</w:t>
            </w:r>
          </w:p>
        </w:tc>
        <w:tc>
          <w:tcPr>
            <w:tcW w:type="dxa" w:w="2160"/>
          </w:tcPr>
          <w:p>
            <w:r>
              <w:t>+300</w:t>
            </w:r>
          </w:p>
        </w:tc>
        <w:tc>
          <w:tcPr>
            <w:tcW w:type="dxa" w:w="2160"/>
          </w:tcPr>
          <w:p>
            <w:r>
              <w:t>Qwen3 contribution</w:t>
            </w:r>
          </w:p>
        </w:tc>
      </w:tr>
    </w:tbl>
    <w:p>
      <w:pPr>
        <w:pStyle w:val="Heading2"/>
      </w:pPr>
      <w:r>
        <w:t>2.2 Evidence Classification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Citation Requirement</w:t>
            </w:r>
          </w:p>
        </w:tc>
      </w:tr>
      <w:tr>
        <w:tc>
          <w:tcPr>
            <w:tcW w:type="dxa" w:w="2880"/>
          </w:tcPr>
          <w:p>
            <w:r>
              <w:t>Verified (Deployed)</w:t>
            </w:r>
          </w:p>
        </w:tc>
        <w:tc>
          <w:tcPr>
            <w:tcW w:type="dxa" w:w="2880"/>
          </w:tcPr>
          <w:p>
            <w:r>
              <w:t>Operating at commercial scale with published data</w:t>
            </w:r>
          </w:p>
        </w:tc>
        <w:tc>
          <w:tcPr>
            <w:tcW w:type="dxa" w:w="2880"/>
          </w:tcPr>
          <w:p>
            <w:r>
              <w:t>Peer-reviewed or operator-published</w:t>
            </w:r>
          </w:p>
        </w:tc>
      </w:tr>
      <w:tr>
        <w:tc>
          <w:tcPr>
            <w:tcW w:type="dxa" w:w="2880"/>
          </w:tcPr>
          <w:p>
            <w:r>
              <w:t>Derived (Pilot)</w:t>
            </w:r>
          </w:p>
        </w:tc>
        <w:tc>
          <w:tcPr>
            <w:tcW w:type="dxa" w:w="2880"/>
          </w:tcPr>
          <w:p>
            <w:r>
              <w:t>Demonstrated at pilot scale or adjacent industry</w:t>
            </w:r>
          </w:p>
        </w:tc>
        <w:tc>
          <w:tcPr>
            <w:tcW w:type="dxa" w:w="2880"/>
          </w:tcPr>
          <w:p>
            <w:r>
              <w:t>Technical report or conference paper</w:t>
            </w:r>
          </w:p>
        </w:tc>
      </w:tr>
      <w:tr>
        <w:tc>
          <w:tcPr>
            <w:tcW w:type="dxa" w:w="2880"/>
          </w:tcPr>
          <w:p>
            <w:r>
              <w:t>Proposed (Research-stage)</w:t>
            </w:r>
          </w:p>
        </w:tc>
        <w:tc>
          <w:tcPr>
            <w:tcW w:type="dxa" w:w="2880"/>
          </w:tcPr>
          <w:p>
            <w:r>
              <w:t>Theoretical or lab-demonstrated only</w:t>
            </w:r>
          </w:p>
        </w:tc>
        <w:tc>
          <w:tcPr>
            <w:tcW w:type="dxa" w:w="2880"/>
          </w:tcPr>
          <w:p>
            <w:r>
              <w:t>Must be flagged as speculative</w:t>
            </w:r>
          </w:p>
        </w:tc>
      </w:tr>
    </w:tbl>
    <w:p>
      <w:pPr>
        <w:pStyle w:val="Heading1"/>
      </w:pPr>
      <w:r>
        <w:t>3. Implementation Timelines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Key Activities</w:t>
            </w:r>
          </w:p>
        </w:tc>
        <w:tc>
          <w:tcPr>
            <w:tcW w:type="dxa" w:w="2160"/>
          </w:tcPr>
          <w:p>
            <w:r>
              <w:t>Success Criteria</w:t>
            </w:r>
          </w:p>
        </w:tc>
      </w:tr>
      <w:tr>
        <w:tc>
          <w:tcPr>
            <w:tcW w:type="dxa" w:w="2160"/>
          </w:tcPr>
          <w:p>
            <w:r>
              <w:t>Phase 0: Site Assessment</w:t>
            </w:r>
          </w:p>
        </w:tc>
        <w:tc>
          <w:tcPr>
            <w:tcW w:type="dxa" w:w="2160"/>
          </w:tcPr>
          <w:p>
            <w:r>
              <w:t>3–6 months</w:t>
            </w:r>
          </w:p>
        </w:tc>
        <w:tc>
          <w:tcPr>
            <w:tcW w:type="dxa" w:w="2160"/>
          </w:tcPr>
          <w:p>
            <w:r>
              <w:t>Geological survey, regulatory scan, agricultural mapping</w:t>
            </w:r>
          </w:p>
        </w:tc>
        <w:tc>
          <w:tcPr>
            <w:tcW w:type="dxa" w:w="2160"/>
          </w:tcPr>
          <w:p>
            <w:r>
              <w:t>Site viability confirmed</w:t>
            </w:r>
          </w:p>
        </w:tc>
      </w:tr>
      <w:tr>
        <w:tc>
          <w:tcPr>
            <w:tcW w:type="dxa" w:w="2160"/>
          </w:tcPr>
          <w:p>
            <w:r>
              <w:t>Phase 1: Quick Wins</w:t>
            </w:r>
          </w:p>
        </w:tc>
        <w:tc>
          <w:tcPr>
            <w:tcW w:type="dxa" w:w="2160"/>
          </w:tcPr>
          <w:p>
            <w:r>
              <w:t>6–12 months</w:t>
            </w:r>
          </w:p>
        </w:tc>
        <w:tc>
          <w:tcPr>
            <w:tcW w:type="dxa" w:w="2160"/>
          </w:tcPr>
          <w:p>
            <w:r>
              <w:t>M2.3, M3.7, M5.1, M5.2 (low capex, immediate impact)</w:t>
            </w:r>
          </w:p>
        </w:tc>
        <w:tc>
          <w:tcPr>
            <w:tcW w:type="dxa" w:w="2160"/>
          </w:tcPr>
          <w:p>
            <w:r>
              <w:t>15–25% water reduction</w:t>
            </w:r>
          </w:p>
        </w:tc>
      </w:tr>
      <w:tr>
        <w:tc>
          <w:tcPr>
            <w:tcW w:type="dxa" w:w="2160"/>
          </w:tcPr>
          <w:p>
            <w:r>
              <w:t>Phase 2: Core Infrastructure</w:t>
            </w:r>
          </w:p>
        </w:tc>
        <w:tc>
          <w:tcPr>
            <w:tcW w:type="dxa" w:w="2160"/>
          </w:tcPr>
          <w:p>
            <w:r>
              <w:t>12–24 months</w:t>
            </w:r>
          </w:p>
        </w:tc>
        <w:tc>
          <w:tcPr>
            <w:tcW w:type="dxa" w:w="2160"/>
          </w:tcPr>
          <w:p>
            <w:r>
              <w:t>M2.1, M2.4, M3.1, M4.2 (moderate capex)</w:t>
            </w:r>
          </w:p>
        </w:tc>
        <w:tc>
          <w:tcPr>
            <w:tcW w:type="dxa" w:w="2160"/>
          </w:tcPr>
          <w:p>
            <w:r>
              <w:t>50–65% water reduction</w:t>
            </w:r>
          </w:p>
        </w:tc>
      </w:tr>
      <w:tr>
        <w:tc>
          <w:tcPr>
            <w:tcW w:type="dxa" w:w="2160"/>
          </w:tcPr>
          <w:p>
            <w:r>
              <w:t>Phase 3: Integration</w:t>
            </w:r>
          </w:p>
        </w:tc>
        <w:tc>
          <w:tcPr>
            <w:tcW w:type="dxa" w:w="2160"/>
          </w:tcPr>
          <w:p>
            <w:r>
              <w:t>24–36 months</w:t>
            </w:r>
          </w:p>
        </w:tc>
        <w:tc>
          <w:tcPr>
            <w:tcW w:type="dxa" w:w="2160"/>
          </w:tcPr>
          <w:p>
            <w:r>
              <w:t>M1.3, M4.1, M6.3 (partnerships, thermal offtake)</w:t>
            </w:r>
          </w:p>
        </w:tc>
        <w:tc>
          <w:tcPr>
            <w:tcW w:type="dxa" w:w="2160"/>
          </w:tcPr>
          <w:p>
            <w:r>
              <w:t>Net-positive water status</w:t>
            </w:r>
          </w:p>
        </w:tc>
      </w:tr>
      <w:tr>
        <w:tc>
          <w:tcPr>
            <w:tcW w:type="dxa" w:w="2160"/>
          </w:tcPr>
          <w:p>
            <w:r>
              <w:t>Phase 4: Optimization</w:t>
            </w:r>
          </w:p>
        </w:tc>
        <w:tc>
          <w:tcPr>
            <w:tcW w:type="dxa" w:w="2160"/>
          </w:tcPr>
          <w:p>
            <w:r>
              <w:t>36–48 months</w:t>
            </w:r>
          </w:p>
        </w:tc>
        <w:tc>
          <w:tcPr>
            <w:tcW w:type="dxa" w:w="2160"/>
          </w:tcPr>
          <w:p>
            <w:r>
              <w:t>M1.7, M4.4, M5.3 (advanced, site-specific)</w:t>
            </w:r>
          </w:p>
        </w:tc>
        <w:tc>
          <w:tcPr>
            <w:tcW w:type="dxa" w:w="2160"/>
          </w:tcPr>
          <w:p>
            <w:r>
              <w:t>Sustained +365 Watershed Days</w:t>
            </w:r>
          </w:p>
        </w:tc>
      </w:tr>
    </w:tbl>
    <w:p>
      <w:pPr>
        <w:pStyle w:val="Heading1"/>
      </w:pPr>
      <w:r>
        <w:t>4. Resource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Resource</w:t>
            </w:r>
          </w:p>
        </w:tc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Phase 2</w:t>
            </w:r>
          </w:p>
        </w:tc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Phase 4</w:t>
            </w:r>
          </w:p>
        </w:tc>
      </w:tr>
      <w:tr>
        <w:tc>
          <w:tcPr>
            <w:tcW w:type="dxa" w:w="1728"/>
          </w:tcPr>
          <w:p>
            <w:r>
              <w:t>Capital investment</w:t>
            </w:r>
          </w:p>
        </w:tc>
        <w:tc>
          <w:tcPr>
            <w:tcW w:type="dxa" w:w="1728"/>
          </w:tcPr>
          <w:p>
            <w:r>
              <w:t>$0.5–1M</w:t>
            </w:r>
          </w:p>
        </w:tc>
        <w:tc>
          <w:tcPr>
            <w:tcW w:type="dxa" w:w="1728"/>
          </w:tcPr>
          <w:p>
            <w:r>
              <w:t>$5–15M</w:t>
            </w:r>
          </w:p>
        </w:tc>
        <w:tc>
          <w:tcPr>
            <w:tcW w:type="dxa" w:w="1728"/>
          </w:tcPr>
          <w:p>
            <w:r>
              <w:t>$10–25M</w:t>
            </w:r>
          </w:p>
        </w:tc>
        <w:tc>
          <w:tcPr>
            <w:tcW w:type="dxa" w:w="1728"/>
          </w:tcPr>
          <w:p>
            <w:r>
              <w:t>$5–10M</w:t>
            </w:r>
          </w:p>
        </w:tc>
      </w:tr>
      <w:tr>
        <w:tc>
          <w:tcPr>
            <w:tcW w:type="dxa" w:w="1728"/>
          </w:tcPr>
          <w:p>
            <w:r>
              <w:t>Engineering staff</w:t>
            </w:r>
          </w:p>
        </w:tc>
        <w:tc>
          <w:tcPr>
            <w:tcW w:type="dxa" w:w="1728"/>
          </w:tcPr>
          <w:p>
            <w:r>
              <w:t>2–3 FTE</w:t>
            </w:r>
          </w:p>
        </w:tc>
        <w:tc>
          <w:tcPr>
            <w:tcW w:type="dxa" w:w="1728"/>
          </w:tcPr>
          <w:p>
            <w:r>
              <w:t>8–12 FTE</w:t>
            </w:r>
          </w:p>
        </w:tc>
        <w:tc>
          <w:tcPr>
            <w:tcW w:type="dxa" w:w="1728"/>
          </w:tcPr>
          <w:p>
            <w:r>
              <w:t>15–20 FTE</w:t>
            </w:r>
          </w:p>
        </w:tc>
        <w:tc>
          <w:tcPr>
            <w:tcW w:type="dxa" w:w="1728"/>
          </w:tcPr>
          <w:p>
            <w:r>
              <w:t>5–8 FTE</w:t>
            </w:r>
          </w:p>
        </w:tc>
      </w:tr>
      <w:tr>
        <w:tc>
          <w:tcPr>
            <w:tcW w:type="dxa" w:w="1728"/>
          </w:tcPr>
          <w:p>
            <w:r>
              <w:t>Timeline</w:t>
            </w:r>
          </w:p>
        </w:tc>
        <w:tc>
          <w:tcPr>
            <w:tcW w:type="dxa" w:w="1728"/>
          </w:tcPr>
          <w:p>
            <w:r>
              <w:t>6–12 months</w:t>
            </w:r>
          </w:p>
        </w:tc>
        <w:tc>
          <w:tcPr>
            <w:tcW w:type="dxa" w:w="1728"/>
          </w:tcPr>
          <w:p>
            <w:r>
              <w:t>12–24 months</w:t>
            </w:r>
          </w:p>
        </w:tc>
        <w:tc>
          <w:tcPr>
            <w:tcW w:type="dxa" w:w="1728"/>
          </w:tcPr>
          <w:p>
            <w:r>
              <w:t>24–36 months</w:t>
            </w:r>
          </w:p>
        </w:tc>
        <w:tc>
          <w:tcPr>
            <w:tcW w:type="dxa" w:w="1728"/>
          </w:tcPr>
          <w:p>
            <w:r>
              <w:t>36–48 months</w:t>
            </w:r>
          </w:p>
        </w:tc>
      </w:tr>
      <w:tr>
        <w:tc>
          <w:tcPr>
            <w:tcW w:type="dxa" w:w="1728"/>
          </w:tcPr>
          <w:p>
            <w:r>
              <w:t>External partnerships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Equipment vendors</w:t>
            </w:r>
          </w:p>
        </w:tc>
        <w:tc>
          <w:tcPr>
            <w:tcW w:type="dxa" w:w="1728"/>
          </w:tcPr>
          <w:p>
            <w:r>
              <w:t>Agricultural co-ops, municipality</w:t>
            </w:r>
          </w:p>
        </w:tc>
        <w:tc>
          <w:tcPr>
            <w:tcW w:type="dxa" w:w="1728"/>
          </w:tcPr>
          <w:p>
            <w:r>
              <w:t>Research institutions</w:t>
            </w:r>
          </w:p>
        </w:tc>
      </w:tr>
    </w:tbl>
    <w:p>
      <w:pPr>
        <w:pStyle w:val="Heading1"/>
      </w:pPr>
      <w:r>
        <w:t>5. Risk Assessment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Regulatory delay on thermal sales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Pre-engage utility commission; use M6.3 Korean precedent</w:t>
            </w:r>
          </w:p>
        </w:tc>
      </w:tr>
      <w:tr>
        <w:tc>
          <w:tcPr>
            <w:tcW w:type="dxa" w:w="2160"/>
          </w:tcPr>
          <w:p>
            <w:r>
              <w:t>Agricultural partner withdrawal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Diversify partners; maintain standalone cooling capability</w:t>
            </w:r>
          </w:p>
        </w:tc>
      </w:tr>
      <w:tr>
        <w:tc>
          <w:tcPr>
            <w:tcW w:type="dxa" w:w="2160"/>
          </w:tcPr>
          <w:p>
            <w:r>
              <w:t>Technology underperformance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Phase deployment; validate each module before next</w:t>
            </w:r>
          </w:p>
        </w:tc>
      </w:tr>
      <w:tr>
        <w:tc>
          <w:tcPr>
            <w:tcW w:type="dxa" w:w="2160"/>
          </w:tcPr>
          <w:p>
            <w:r>
              <w:t>Community opposition</w:t>
            </w:r>
          </w:p>
        </w:tc>
        <w:tc>
          <w:tcPr>
            <w:tcW w:type="dxa" w:w="2160"/>
          </w:tcPr>
          <w:p>
            <w:r>
              <w:t>Low-Medium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Early engagement; transparent Watershed Days reporting</w:t>
            </w:r>
          </w:p>
        </w:tc>
      </w:tr>
      <w:tr>
        <w:tc>
          <w:tcPr>
            <w:tcW w:type="dxa" w:w="2160"/>
          </w:tcPr>
          <w:p>
            <w:r>
              <w:t>Extreme drought exceeding design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M4.7/M4.8 backup AWG; demand shifting (M2.9)</w:t>
            </w:r>
          </w:p>
        </w:tc>
      </w:tr>
      <w:tr>
        <w:tc>
          <w:tcPr>
            <w:tcW w:type="dxa" w:w="2160"/>
          </w:tcPr>
          <w:p>
            <w:r>
              <w:t>Policy shift (carbon/water credits)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Diversify value streams; don't depend on single incentive</w:t>
            </w:r>
          </w:p>
        </w:tc>
      </w:tr>
      <w:tr>
        <w:tc>
          <w:tcPr>
            <w:tcW w:type="dxa" w:w="2160"/>
          </w:tcPr>
          <w:p>
            <w:r>
              <w:t>Condensate quality issues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M3.1/M3.2 treatment chain; continuous monitoring (M5.2)</w:t>
            </w:r>
          </w:p>
        </w:tc>
      </w:tr>
    </w:tbl>
    <w:p>
      <w:pPr>
        <w:pStyle w:val="Heading2"/>
      </w:pPr>
      <w:r>
        <w:t>5.1 Regret-Proofing (Qwen3 Contribution)</w:t>
      </w:r>
    </w:p>
    <w:p>
      <w:r>
        <w:t>Failure mode library with pre-planned fallback options: condensate system clogs (fallback to municipal supply), agricultural partner exits (redirect heat to district heating), policy shifts (maintain standalone economic case), extreme drought (activate atmospheric water generation backup).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