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ORCS Site-Specific Integration</w:t>
      </w:r>
    </w:p>
    <w:p>
      <w:r>
        <w:t>Midwest-Optimized Module Combinations &amp; Regional Opportunities</w:t>
      </w:r>
    </w:p>
    <w:p>
      <w:r>
        <w:t>Atlas Lattice Foundation | April 2026</w:t>
      </w:r>
    </w:p>
    <w:p/>
    <w:p>
      <w:pPr>
        <w:pStyle w:val="Heading1"/>
      </w:pPr>
      <w:r>
        <w:t>1. Climate-Specific Deployment Clusters</w:t>
      </w:r>
    </w:p>
    <w:p>
      <w:r>
        <w:t>The 40-module inventory is not deployed uniformly. Six climate-specific clusters provide operators with an actionable starting point based on site characteristics.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Core Modules</w:t>
            </w:r>
          </w:p>
        </w:tc>
        <w:tc>
          <w:tcPr>
            <w:tcW w:type="dxa" w:w="2160"/>
          </w:tcPr>
          <w:p>
            <w:r>
              <w:t>Archetype</w:t>
            </w:r>
          </w:p>
        </w:tc>
        <w:tc>
          <w:tcPr>
            <w:tcW w:type="dxa" w:w="2160"/>
          </w:tcPr>
          <w:p>
            <w:r>
              <w:t>Best Regions</w:t>
            </w:r>
          </w:p>
        </w:tc>
      </w:tr>
      <w:tr>
        <w:tc>
          <w:tcPr>
            <w:tcW w:type="dxa" w:w="2160"/>
          </w:tcPr>
          <w:p>
            <w:r>
              <w:t>Agricultural (rural)</w:t>
            </w:r>
          </w:p>
        </w:tc>
        <w:tc>
          <w:tcPr>
            <w:tcW w:type="dxa" w:w="2160"/>
          </w:tcPr>
          <w:p>
            <w:r>
              <w:t>M1.3 + M1.1/M1.2 + M4.5 + M6.4</w:t>
            </w:r>
          </w:p>
        </w:tc>
        <w:tc>
          <w:tcPr>
            <w:tcW w:type="dxa" w:w="2160"/>
          </w:tcPr>
          <w:p>
            <w:r>
              <w:t>WDC Japan model</w:t>
            </w:r>
          </w:p>
        </w:tc>
        <w:tc>
          <w:tcPr>
            <w:tcW w:type="dxa" w:w="2160"/>
          </w:tcPr>
          <w:p>
            <w:r>
              <w:t>Midwest US, Northern Europe, Rural Japan</w:t>
            </w:r>
          </w:p>
        </w:tc>
      </w:tr>
      <w:tr>
        <w:tc>
          <w:tcPr>
            <w:tcW w:type="dxa" w:w="2160"/>
          </w:tcPr>
          <w:p>
            <w:r>
              <w:t>Municipal (urban)</w:t>
            </w:r>
          </w:p>
        </w:tc>
        <w:tc>
          <w:tcPr>
            <w:tcW w:type="dxa" w:w="2160"/>
          </w:tcPr>
          <w:p>
            <w:r>
              <w:t>M1.4 + M4.1 + M6.3 + M6.4</w:t>
            </w:r>
          </w:p>
        </w:tc>
        <w:tc>
          <w:tcPr>
            <w:tcW w:type="dxa" w:w="2160"/>
          </w:tcPr>
          <w:p>
            <w:r>
              <w:t>Korean reciprocity</w:t>
            </w:r>
          </w:p>
        </w:tc>
        <w:tc>
          <w:tcPr>
            <w:tcW w:type="dxa" w:w="2160"/>
          </w:tcPr>
          <w:p>
            <w:r>
              <w:t>Seoul, Stockholm, Vancouver, Navi Mumbai</w:t>
            </w:r>
          </w:p>
        </w:tc>
      </w:tr>
      <w:tr>
        <w:tc>
          <w:tcPr>
            <w:tcW w:type="dxa" w:w="2160"/>
          </w:tcPr>
          <w:p>
            <w:r>
              <w:t>Arid</w:t>
            </w:r>
          </w:p>
        </w:tc>
        <w:tc>
          <w:tcPr>
            <w:tcW w:type="dxa" w:w="2160"/>
          </w:tcPr>
          <w:p>
            <w:r>
              <w:t>M2.1 + M2.3 + M3.7 + M5.5 + M4.8 + M6.1</w:t>
            </w:r>
          </w:p>
        </w:tc>
        <w:tc>
          <w:tcPr>
            <w:tcW w:type="dxa" w:w="2160"/>
          </w:tcPr>
          <w:p>
            <w:r>
              <w:t>Desert deployment</w:t>
            </w:r>
          </w:p>
        </w:tc>
        <w:tc>
          <w:tcPr>
            <w:tcW w:type="dxa" w:w="2160"/>
          </w:tcPr>
          <w:p>
            <w:r>
              <w:t>Phoenix, Dubai, Guizhou, North Africa</w:t>
            </w:r>
          </w:p>
        </w:tc>
      </w:tr>
      <w:tr>
        <w:tc>
          <w:tcPr>
            <w:tcW w:type="dxa" w:w="2160"/>
          </w:tcPr>
          <w:p>
            <w:r>
              <w:t>Monsoon</w:t>
            </w:r>
          </w:p>
        </w:tc>
        <w:tc>
          <w:tcPr>
            <w:tcW w:type="dxa" w:w="2160"/>
          </w:tcPr>
          <w:p>
            <w:r>
              <w:t>M4.4 + M4.3 + M4.5 + M1.4 + M6.3</w:t>
            </w:r>
          </w:p>
        </w:tc>
        <w:tc>
          <w:tcPr>
            <w:tcW w:type="dxa" w:w="2160"/>
          </w:tcPr>
          <w:p>
            <w:r>
              <w:t>Tropical deployment</w:t>
            </w:r>
          </w:p>
        </w:tc>
        <w:tc>
          <w:tcPr>
            <w:tcW w:type="dxa" w:w="2160"/>
          </w:tcPr>
          <w:p>
            <w:r>
              <w:t>India, Philippines, Southeast Asia</w:t>
            </w:r>
          </w:p>
        </w:tc>
      </w:tr>
      <w:tr>
        <w:tc>
          <w:tcPr>
            <w:tcW w:type="dxa" w:w="2160"/>
          </w:tcPr>
          <w:p>
            <w:r>
              <w:t>Temperate</w:t>
            </w:r>
          </w:p>
        </w:tc>
        <w:tc>
          <w:tcPr>
            <w:tcW w:type="dxa" w:w="2160"/>
          </w:tcPr>
          <w:p>
            <w:r>
              <w:t>M2.1 + M2.4/M2.5 + M3.5 + M4.2 + M4.6</w:t>
            </w:r>
          </w:p>
        </w:tc>
        <w:tc>
          <w:tcPr>
            <w:tcW w:type="dxa" w:w="2160"/>
          </w:tcPr>
          <w:p>
            <w:r>
              <w:t>Standard hyperscale</w:t>
            </w:r>
          </w:p>
        </w:tc>
        <w:tc>
          <w:tcPr>
            <w:tcW w:type="dxa" w:w="2160"/>
          </w:tcPr>
          <w:p>
            <w:r>
              <w:t>US East, Western Europe, Japan</w:t>
            </w:r>
          </w:p>
        </w:tc>
      </w:tr>
      <w:tr>
        <w:tc>
          <w:tcPr>
            <w:tcW w:type="dxa" w:w="2160"/>
          </w:tcPr>
          <w:p>
            <w:r>
              <w:t>Coastal</w:t>
            </w:r>
          </w:p>
        </w:tc>
        <w:tc>
          <w:tcPr>
            <w:tcW w:type="dxa" w:w="2160"/>
          </w:tcPr>
          <w:p>
            <w:r>
              <w:t>M1.5 + M2.1 + M1.3 + M6.4</w:t>
            </w:r>
          </w:p>
        </w:tc>
        <w:tc>
          <w:tcPr>
            <w:tcW w:type="dxa" w:w="2160"/>
          </w:tcPr>
          <w:p>
            <w:r>
              <w:t>Shore deployment</w:t>
            </w:r>
          </w:p>
        </w:tc>
        <w:tc>
          <w:tcPr>
            <w:tcW w:type="dxa" w:w="2160"/>
          </w:tcPr>
          <w:p>
            <w:r>
              <w:t>Finland, Singapore, Ireland</w:t>
            </w:r>
          </w:p>
        </w:tc>
      </w:tr>
    </w:tbl>
    <w:p>
      <w:pPr>
        <w:pStyle w:val="Heading1"/>
      </w:pPr>
      <w:r>
        <w:t>2. Indiana / Midwest Optimization</w:t>
      </w:r>
    </w:p>
    <w:p>
      <w:r>
        <w:t>Indiana falls into the Agricultural + Temperate overlap — the most favorable combination for regenerative infrastructure. The state offers high humidity (vapor recovery), cold winters (waste heat demand), abundant farmland (CEA partnerships), and moderate water stress (not crisis-level, but enough to motivate action).</w:t>
      </w:r>
    </w:p>
    <w:p>
      <w:pPr>
        <w:pStyle w:val="Heading2"/>
      </w:pPr>
      <w:r>
        <w:t>2.1 Recommended Module Stack for Node Zero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Rationale for Indiana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M2.3 Raised supply air temp</w:t>
            </w:r>
          </w:p>
        </w:tc>
        <w:tc>
          <w:tcPr>
            <w:tcW w:type="dxa" w:w="2160"/>
          </w:tcPr>
          <w:p>
            <w:r>
              <w:t>Free efficiency gain, ASHRAE compliant</w:t>
            </w:r>
          </w:p>
        </w:tc>
        <w:tc>
          <w:tcPr>
            <w:tcW w:type="dxa" w:w="2160"/>
          </w:tcPr>
          <w:p>
            <w:r>
              <w:t>0–6 months</w:t>
            </w:r>
          </w:p>
        </w:tc>
      </w:tr>
      <w:tr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M5.1 IoT leak detection</w:t>
            </w:r>
          </w:p>
        </w:tc>
        <w:tc>
          <w:tcPr>
            <w:tcW w:type="dxa" w:w="2160"/>
          </w:tcPr>
          <w:p>
            <w:r>
              <w:t>Low cost, immediate water savings</w:t>
            </w:r>
          </w:p>
        </w:tc>
        <w:tc>
          <w:tcPr>
            <w:tcW w:type="dxa" w:w="2160"/>
          </w:tcPr>
          <w:p>
            <w:r>
              <w:t>0–6 months</w:t>
            </w:r>
          </w:p>
        </w:tc>
      </w:tr>
      <w:tr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M3.7 Precision humidity zoning</w:t>
            </w:r>
          </w:p>
        </w:tc>
        <w:tc>
          <w:tcPr>
            <w:tcW w:type="dxa" w:w="2160"/>
          </w:tcPr>
          <w:p>
            <w:r>
              <w:t>Eliminate unnecessary humidification</w:t>
            </w:r>
          </w:p>
        </w:tc>
        <w:tc>
          <w:tcPr>
            <w:tcW w:type="dxa" w:w="2160"/>
          </w:tcPr>
          <w:p>
            <w:r>
              <w:t>0–6 months</w:t>
            </w:r>
          </w:p>
        </w:tc>
      </w:tr>
      <w:tr>
        <w:tc>
          <w:tcPr>
            <w:tcW w:type="dxa" w:w="2160"/>
          </w:tcPr>
          <w:p>
            <w:r>
              <w:t>Near-term</w:t>
            </w:r>
          </w:p>
        </w:tc>
        <w:tc>
          <w:tcPr>
            <w:tcW w:type="dxa" w:w="2160"/>
          </w:tcPr>
          <w:p>
            <w:r>
              <w:t>M2.1 Hybrid wet-dry cooling</w:t>
            </w:r>
          </w:p>
        </w:tc>
        <w:tc>
          <w:tcPr>
            <w:tcW w:type="dxa" w:w="2160"/>
          </w:tcPr>
          <w:p>
            <w:r>
              <w:t>Core architecture for seasonal switching</w:t>
            </w:r>
          </w:p>
        </w:tc>
        <w:tc>
          <w:tcPr>
            <w:tcW w:type="dxa" w:w="2160"/>
          </w:tcPr>
          <w:p>
            <w:r>
              <w:t>6–12 months</w:t>
            </w:r>
          </w:p>
        </w:tc>
      </w:tr>
      <w:tr>
        <w:tc>
          <w:tcPr>
            <w:tcW w:type="dxa" w:w="2160"/>
          </w:tcPr>
          <w:p>
            <w:r>
              <w:t>Near-term</w:t>
            </w:r>
          </w:p>
        </w:tc>
        <w:tc>
          <w:tcPr>
            <w:tcW w:type="dxa" w:w="2160"/>
          </w:tcPr>
          <w:p>
            <w:r>
              <w:t>M4.2 Rainwater harvesting</w:t>
            </w:r>
          </w:p>
        </w:tc>
        <w:tc>
          <w:tcPr>
            <w:tcW w:type="dxa" w:w="2160"/>
          </w:tcPr>
          <w:p>
            <w:r>
              <w:t>38–42" annual rainfall, reliable supply</w:t>
            </w:r>
          </w:p>
        </w:tc>
        <w:tc>
          <w:tcPr>
            <w:tcW w:type="dxa" w:w="2160"/>
          </w:tcPr>
          <w:p>
            <w:r>
              <w:t>6–12 months</w:t>
            </w:r>
          </w:p>
        </w:tc>
      </w:tr>
      <w:tr>
        <w:tc>
          <w:tcPr>
            <w:tcW w:type="dxa" w:w="2160"/>
          </w:tcPr>
          <w:p>
            <w:r>
              <w:t>Near-term</w:t>
            </w:r>
          </w:p>
        </w:tc>
        <w:tc>
          <w:tcPr>
            <w:tcW w:type="dxa" w:w="2160"/>
          </w:tcPr>
          <w:p>
            <w:r>
              <w:t>M3.1 Electrolytic scale control</w:t>
            </w:r>
          </w:p>
        </w:tc>
        <w:tc>
          <w:tcPr>
            <w:tcW w:type="dxa" w:w="2160"/>
          </w:tcPr>
          <w:p>
            <w:r>
              <w:t>10x cycles of concentration</w:t>
            </w:r>
          </w:p>
        </w:tc>
        <w:tc>
          <w:tcPr>
            <w:tcW w:type="dxa" w:w="2160"/>
          </w:tcPr>
          <w:p>
            <w:r>
              <w:t>6–12 months</w:t>
            </w:r>
          </w:p>
        </w:tc>
      </w:tr>
      <w:tr>
        <w:tc>
          <w:tcPr>
            <w:tcW w:type="dxa" w:w="2160"/>
          </w:tcPr>
          <w:p>
            <w:r>
              <w:t>Medium-term</w:t>
            </w:r>
          </w:p>
        </w:tc>
        <w:tc>
          <w:tcPr>
            <w:tcW w:type="dxa" w:w="2160"/>
          </w:tcPr>
          <w:p>
            <w:r>
              <w:t>M2.4 Direct-to-chip liquid cooling</w:t>
            </w:r>
          </w:p>
        </w:tc>
        <w:tc>
          <w:tcPr>
            <w:tcW w:type="dxa" w:w="2160"/>
          </w:tcPr>
          <w:p>
            <w:r>
              <w:t>High-density rack support</w:t>
            </w:r>
          </w:p>
        </w:tc>
        <w:tc>
          <w:tcPr>
            <w:tcW w:type="dxa" w:w="2160"/>
          </w:tcPr>
          <w:p>
            <w:r>
              <w:t>12–24 months</w:t>
            </w:r>
          </w:p>
        </w:tc>
      </w:tr>
      <w:tr>
        <w:tc>
          <w:tcPr>
            <w:tcW w:type="dxa" w:w="2160"/>
          </w:tcPr>
          <w:p>
            <w:r>
              <w:t>Medium-term</w:t>
            </w:r>
          </w:p>
        </w:tc>
        <w:tc>
          <w:tcPr>
            <w:tcW w:type="dxa" w:w="2160"/>
          </w:tcPr>
          <w:p>
            <w:r>
              <w:t>M1.1 Vapor recovery (retrofit)</w:t>
            </w:r>
          </w:p>
        </w:tc>
        <w:tc>
          <w:tcPr>
            <w:tcW w:type="dxa" w:w="2160"/>
          </w:tcPr>
          <w:p>
            <w:r>
              <w:t>65–80% RH = excellent recovery</w:t>
            </w:r>
          </w:p>
        </w:tc>
        <w:tc>
          <w:tcPr>
            <w:tcW w:type="dxa" w:w="2160"/>
          </w:tcPr>
          <w:p>
            <w:r>
              <w:t>12–24 months</w:t>
            </w:r>
          </w:p>
        </w:tc>
      </w:tr>
      <w:tr>
        <w:tc>
          <w:tcPr>
            <w:tcW w:type="dxa" w:w="2160"/>
          </w:tcPr>
          <w:p>
            <w:r>
              <w:t>Medium-term</w:t>
            </w:r>
          </w:p>
        </w:tc>
        <w:tc>
          <w:tcPr>
            <w:tcW w:type="dxa" w:w="2160"/>
          </w:tcPr>
          <w:p>
            <w:r>
              <w:t>M4.1 Greywater integration</w:t>
            </w:r>
          </w:p>
        </w:tc>
        <w:tc>
          <w:tcPr>
            <w:tcW w:type="dxa" w:w="2160"/>
          </w:tcPr>
          <w:p>
            <w:r>
              <w:t>Municipal partnership</w:t>
            </w:r>
          </w:p>
        </w:tc>
        <w:tc>
          <w:tcPr>
            <w:tcW w:type="dxa" w:w="2160"/>
          </w:tcPr>
          <w:p>
            <w:r>
              <w:t>12–24 months</w:t>
            </w:r>
          </w:p>
        </w:tc>
      </w:tr>
      <w:tr>
        <w:tc>
          <w:tcPr>
            <w:tcW w:type="dxa" w:w="2160"/>
          </w:tcPr>
          <w:p>
            <w:r>
              <w:t>Keystone</w:t>
            </w:r>
          </w:p>
        </w:tc>
        <w:tc>
          <w:tcPr>
            <w:tcW w:type="dxa" w:w="2160"/>
          </w:tcPr>
          <w:p>
            <w:r>
              <w:t>M1.3 CEA thermal offtake</w:t>
            </w:r>
          </w:p>
        </w:tc>
        <w:tc>
          <w:tcPr>
            <w:tcW w:type="dxa" w:w="2160"/>
          </w:tcPr>
          <w:p>
            <w:r>
              <w:t>Flips to net-positive; 85% farmland adjacency</w:t>
            </w:r>
          </w:p>
        </w:tc>
        <w:tc>
          <w:tcPr>
            <w:tcW w:type="dxa" w:w="2160"/>
          </w:tcPr>
          <w:p>
            <w:r>
              <w:t>18–36 months</w:t>
            </w:r>
          </w:p>
        </w:tc>
      </w:tr>
      <w:tr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M1.7 ATES</w:t>
            </w:r>
          </w:p>
        </w:tc>
        <w:tc>
          <w:tcPr>
            <w:tcW w:type="dxa" w:w="2160"/>
          </w:tcPr>
          <w:p>
            <w:r>
              <w:t>Glacial till aquifer, needs geological survey</w:t>
            </w:r>
          </w:p>
        </w:tc>
        <w:tc>
          <w:tcPr>
            <w:tcW w:type="dxa" w:w="2160"/>
          </w:tcPr>
          <w:p>
            <w:r>
              <w:t>24–48 months</w:t>
            </w:r>
          </w:p>
        </w:tc>
      </w:tr>
      <w:tr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M6.3 Municipal reciprocity</w:t>
            </w:r>
          </w:p>
        </w:tc>
        <w:tc>
          <w:tcPr>
            <w:tcW w:type="dxa" w:w="2160"/>
          </w:tcPr>
          <w:p>
            <w:r>
              <w:t>Requires utility commission engagement</w:t>
            </w:r>
          </w:p>
        </w:tc>
        <w:tc>
          <w:tcPr>
            <w:tcW w:type="dxa" w:w="2160"/>
          </w:tcPr>
          <w:p>
            <w:r>
              <w:t>24–48 months</w:t>
            </w:r>
          </w:p>
        </w:tc>
      </w:tr>
    </w:tbl>
    <w:p>
      <w:pPr>
        <w:pStyle w:val="Heading2"/>
      </w:pPr>
      <w:r>
        <w:t>2.2 Local Agricultural Integration Opportunities</w:t>
      </w:r>
    </w:p>
    <w:p>
      <w:r>
        <w:t>Indiana's agricultural landscape provides immediate partnership opportunities. The state ranks 5th nationally in total agricultural output, with strong cooperative infrastructure. Specific opportunities include:</w:t>
      </w:r>
    </w:p>
    <w:p>
      <w:r>
        <w:t>Greenhouse tomato and leafy green production using waste heat (replacing natural gas heating, which accounts for 30–40% of greenhouse operating costs). Aquaculture integration following the White Data Center model (tilapia, catfish suited to Indiana climate). Mushroom cultivation using lower-grade waste heat (55–65°F range). Hemp fiber processing using thermal energy for drying operations.</w:t>
      </w:r>
    </w:p>
    <w:p>
      <w:pPr>
        <w:pStyle w:val="Heading2"/>
      </w:pPr>
      <w:r>
        <w:t>2.3 Water Efficiency Projections for Indiana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Modules Deployed</w:t>
            </w:r>
          </w:p>
        </w:tc>
        <w:tc>
          <w:tcPr>
            <w:tcW w:type="dxa" w:w="1728"/>
          </w:tcPr>
          <w:p>
            <w:r>
              <w:t>Water Reduction</w:t>
            </w:r>
          </w:p>
        </w:tc>
        <w:tc>
          <w:tcPr>
            <w:tcW w:type="dxa" w:w="1728"/>
          </w:tcPr>
          <w:p>
            <w:r>
              <w:t>Watershed Days</w:t>
            </w:r>
          </w:p>
        </w:tc>
        <w:tc>
          <w:tcPr>
            <w:tcW w:type="dxa" w:w="1728"/>
          </w:tcPr>
          <w:p>
            <w:r>
              <w:t>Timeline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</w:tr>
      <w:tr>
        <w:tc>
          <w:tcPr>
            <w:tcW w:type="dxa" w:w="1728"/>
          </w:tcPr>
          <w:p>
            <w:r>
              <w:t>Phase 1 (Quick Wins)</w:t>
            </w:r>
          </w:p>
        </w:tc>
        <w:tc>
          <w:tcPr>
            <w:tcW w:type="dxa" w:w="1728"/>
          </w:tcPr>
          <w:p>
            <w:r>
              <w:t>M2.3 + M3.7 + M5.1</w:t>
            </w:r>
          </w:p>
        </w:tc>
        <w:tc>
          <w:tcPr>
            <w:tcW w:type="dxa" w:w="1728"/>
          </w:tcPr>
          <w:p>
            <w:r>
              <w:t>15–25%</w:t>
            </w:r>
          </w:p>
        </w:tc>
        <w:tc>
          <w:tcPr>
            <w:tcW w:type="dxa" w:w="1728"/>
          </w:tcPr>
          <w:p>
            <w:r>
              <w:t>0 (still consuming)</w:t>
            </w:r>
          </w:p>
        </w:tc>
        <w:tc>
          <w:tcPr>
            <w:tcW w:type="dxa" w:w="1728"/>
          </w:tcPr>
          <w:p>
            <w:r>
              <w:t>6–12 months</w:t>
            </w:r>
          </w:p>
        </w:tc>
      </w:tr>
      <w:tr>
        <w:tc>
          <w:tcPr>
            <w:tcW w:type="dxa" w:w="1728"/>
          </w:tcPr>
          <w:p>
            <w:r>
              <w:t>Phase 2 (Core)</w:t>
            </w:r>
          </w:p>
        </w:tc>
        <w:tc>
          <w:tcPr>
            <w:tcW w:type="dxa" w:w="1728"/>
          </w:tcPr>
          <w:p>
            <w:r>
              <w:t>Phase 1 + M2.1 + M3.1 + M4.2</w:t>
            </w:r>
          </w:p>
        </w:tc>
        <w:tc>
          <w:tcPr>
            <w:tcW w:type="dxa" w:w="1728"/>
          </w:tcPr>
          <w:p>
            <w:r>
              <w:t>55–70%</w:t>
            </w:r>
          </w:p>
        </w:tc>
        <w:tc>
          <w:tcPr>
            <w:tcW w:type="dxa" w:w="1728"/>
          </w:tcPr>
          <w:p>
            <w:r>
              <w:t>~100</w:t>
            </w:r>
          </w:p>
        </w:tc>
        <w:tc>
          <w:tcPr>
            <w:tcW w:type="dxa" w:w="1728"/>
          </w:tcPr>
          <w:p>
            <w:r>
              <w:t>12–24 months</w:t>
            </w:r>
          </w:p>
        </w:tc>
      </w:tr>
      <w:tr>
        <w:tc>
          <w:tcPr>
            <w:tcW w:type="dxa" w:w="1728"/>
          </w:tcPr>
          <w:p>
            <w:r>
              <w:t>Phase 3 (Integration)</w:t>
            </w:r>
          </w:p>
        </w:tc>
        <w:tc>
          <w:tcPr>
            <w:tcW w:type="dxa" w:w="1728"/>
          </w:tcPr>
          <w:p>
            <w:r>
              <w:t>Phase 2 + M1.1 + M4.1 + M1.3</w:t>
            </w:r>
          </w:p>
        </w:tc>
        <w:tc>
          <w:tcPr>
            <w:tcW w:type="dxa" w:w="1728"/>
          </w:tcPr>
          <w:p>
            <w:r>
              <w:t>90–110%</w:t>
            </w:r>
          </w:p>
        </w:tc>
        <w:tc>
          <w:tcPr>
            <w:tcW w:type="dxa" w:w="1728"/>
          </w:tcPr>
          <w:p>
            <w:r>
              <w:t>+300–365</w:t>
            </w:r>
          </w:p>
        </w:tc>
        <w:tc>
          <w:tcPr>
            <w:tcW w:type="dxa" w:w="1728"/>
          </w:tcPr>
          <w:p>
            <w:r>
              <w:t>24–36 months</w:t>
            </w:r>
          </w:p>
        </w:tc>
      </w:tr>
      <w:tr>
        <w:tc>
          <w:tcPr>
            <w:tcW w:type="dxa" w:w="1728"/>
          </w:tcPr>
          <w:p>
            <w:r>
              <w:t>Phase 4 (Optimization)</w:t>
            </w:r>
          </w:p>
        </w:tc>
        <w:tc>
          <w:tcPr>
            <w:tcW w:type="dxa" w:w="1728"/>
          </w:tcPr>
          <w:p>
            <w:r>
              <w:t>Phase 3 + M1.7 + M6.3</w:t>
            </w:r>
          </w:p>
        </w:tc>
        <w:tc>
          <w:tcPr>
            <w:tcW w:type="dxa" w:w="1728"/>
          </w:tcPr>
          <w:p>
            <w:r>
              <w:t>&gt;110%</w:t>
            </w:r>
          </w:p>
        </w:tc>
        <w:tc>
          <w:tcPr>
            <w:tcW w:type="dxa" w:w="1728"/>
          </w:tcPr>
          <w:p>
            <w:r>
              <w:t>+365 sustained</w:t>
            </w:r>
          </w:p>
        </w:tc>
        <w:tc>
          <w:tcPr>
            <w:tcW w:type="dxa" w:w="1728"/>
          </w:tcPr>
          <w:p>
            <w:r>
              <w:t>36–48 months</w:t>
            </w:r>
          </w:p>
        </w:tc>
      </w:tr>
    </w:tbl>
    <w:p>
      <w:pPr>
        <w:pStyle w:val="Heading1"/>
      </w:pPr>
      <w:r>
        <w:t>3. AWS Regional Mapping</w:t>
      </w:r>
    </w:p>
    <w:p>
      <w:r>
        <w:t>For Amazon/AWS specifically, the ORCS module clusters map to existing AWS regions as follows: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AWS Region</w:t>
            </w:r>
          </w:p>
        </w:tc>
        <w:tc>
          <w:tcPr>
            <w:tcW w:type="dxa" w:w="2160"/>
          </w:tcPr>
          <w:p>
            <w:r>
              <w:t>Climate Cluster</w:t>
            </w:r>
          </w:p>
        </w:tc>
        <w:tc>
          <w:tcPr>
            <w:tcW w:type="dxa" w:w="2160"/>
          </w:tcPr>
          <w:p>
            <w:r>
              <w:t>Priority Modules</w:t>
            </w:r>
          </w:p>
        </w:tc>
        <w:tc>
          <w:tcPr>
            <w:tcW w:type="dxa" w:w="2160"/>
          </w:tcPr>
          <w:p>
            <w:r>
              <w:t>Unique Opportunity</w:t>
            </w:r>
          </w:p>
        </w:tc>
      </w:tr>
      <w:tr>
        <w:tc>
          <w:tcPr>
            <w:tcW w:type="dxa" w:w="2160"/>
          </w:tcPr>
          <w:p>
            <w:r>
              <w:t>US-East-1 (Virginia)</w:t>
            </w:r>
          </w:p>
        </w:tc>
        <w:tc>
          <w:tcPr>
            <w:tcW w:type="dxa" w:w="2160"/>
          </w:tcPr>
          <w:p>
            <w:r>
              <w:t>Temperate/Agricultural</w:t>
            </w:r>
          </w:p>
        </w:tc>
        <w:tc>
          <w:tcPr>
            <w:tcW w:type="dxa" w:w="2160"/>
          </w:tcPr>
          <w:p>
            <w:r>
              <w:t>M1.3, M4.1, M6.3</w:t>
            </w:r>
          </w:p>
        </w:tc>
        <w:tc>
          <w:tcPr>
            <w:tcW w:type="dxa" w:w="2160"/>
          </w:tcPr>
          <w:p>
            <w:r>
              <w:t>Chesapeake Bay restoration ($1.8B federal)</w:t>
            </w:r>
          </w:p>
        </w:tc>
      </w:tr>
      <w:tr>
        <w:tc>
          <w:tcPr>
            <w:tcW w:type="dxa" w:w="2160"/>
          </w:tcPr>
          <w:p>
            <w:r>
              <w:t>US-West-2 (Oregon)</w:t>
            </w:r>
          </w:p>
        </w:tc>
        <w:tc>
          <w:tcPr>
            <w:tcW w:type="dxa" w:w="2160"/>
          </w:tcPr>
          <w:p>
            <w:r>
              <w:t>Temperate</w:t>
            </w:r>
          </w:p>
        </w:tc>
        <w:tc>
          <w:tcPr>
            <w:tcW w:type="dxa" w:w="2160"/>
          </w:tcPr>
          <w:p>
            <w:r>
              <w:t>M1.3, M4.2, M6.4</w:t>
            </w:r>
          </w:p>
        </w:tc>
        <w:tc>
          <w:tcPr>
            <w:tcW w:type="dxa" w:w="2160"/>
          </w:tcPr>
          <w:p>
            <w:r>
              <w:t>Columbia River Gorge agricultural thermal</w:t>
            </w:r>
          </w:p>
        </w:tc>
      </w:tr>
      <w:tr>
        <w:tc>
          <w:tcPr>
            <w:tcW w:type="dxa" w:w="2160"/>
          </w:tcPr>
          <w:p>
            <w:r>
              <w:t>EU-West-1 (Ireland)</w:t>
            </w:r>
          </w:p>
        </w:tc>
        <w:tc>
          <w:tcPr>
            <w:tcW w:type="dxa" w:w="2160"/>
          </w:tcPr>
          <w:p>
            <w:r>
              <w:t>Coastal/Temperate</w:t>
            </w:r>
          </w:p>
        </w:tc>
        <w:tc>
          <w:tcPr>
            <w:tcW w:type="dxa" w:w="2160"/>
          </w:tcPr>
          <w:p>
            <w:r>
              <w:t>M1.5, M1.3, M6.4</w:t>
            </w:r>
          </w:p>
        </w:tc>
        <w:tc>
          <w:tcPr>
            <w:tcW w:type="dxa" w:w="2160"/>
          </w:tcPr>
          <w:p>
            <w:r>
              <w:t>Peat bog restoration via thermal management</w:t>
            </w:r>
          </w:p>
        </w:tc>
      </w:tr>
      <w:tr>
        <w:tc>
          <w:tcPr>
            <w:tcW w:type="dxa" w:w="2160"/>
          </w:tcPr>
          <w:p>
            <w:r>
              <w:t>AP-Southeast-1 (Singapore)</w:t>
            </w:r>
          </w:p>
        </w:tc>
        <w:tc>
          <w:tcPr>
            <w:tcW w:type="dxa" w:w="2160"/>
          </w:tcPr>
          <w:p>
            <w:r>
              <w:t>Coastal/Monsoon</w:t>
            </w:r>
          </w:p>
        </w:tc>
        <w:tc>
          <w:tcPr>
            <w:tcW w:type="dxa" w:w="2160"/>
          </w:tcPr>
          <w:p>
            <w:r>
              <w:t>M1.5, M4.4, M4.3</w:t>
            </w:r>
          </w:p>
        </w:tc>
        <w:tc>
          <w:tcPr>
            <w:tcW w:type="dxa" w:w="2160"/>
          </w:tcPr>
          <w:p>
            <w:r>
              <w:t>Urban agriculture, monsoon harvesting</w:t>
            </w:r>
          </w:p>
        </w:tc>
      </w:tr>
      <w:tr>
        <w:tc>
          <w:tcPr>
            <w:tcW w:type="dxa" w:w="2160"/>
          </w:tcPr>
          <w:p>
            <w:r>
              <w:t>US-East-2 (Ohio)</w:t>
            </w:r>
          </w:p>
        </w:tc>
        <w:tc>
          <w:tcPr>
            <w:tcW w:type="dxa" w:w="2160"/>
          </w:tcPr>
          <w:p>
            <w:r>
              <w:t>Agricultural/Temperate</w:t>
            </w:r>
          </w:p>
        </w:tc>
        <w:tc>
          <w:tcPr>
            <w:tcW w:type="dxa" w:w="2160"/>
          </w:tcPr>
          <w:p>
            <w:r>
              <w:t>M1.3, M4.2, M2.1</w:t>
            </w:r>
          </w:p>
        </w:tc>
        <w:tc>
          <w:tcPr>
            <w:tcW w:type="dxa" w:w="2160"/>
          </w:tcPr>
          <w:p>
            <w:r>
              <w:t>Midwest farming partnerships</w:t>
            </w:r>
          </w:p>
        </w:tc>
      </w:tr>
      <w:tr>
        <w:tc>
          <w:tcPr>
            <w:tcW w:type="dxa" w:w="2160"/>
          </w:tcPr>
          <w:p>
            <w:r>
              <w:t>AP-Northeast-1 (Tokyo)</w:t>
            </w:r>
          </w:p>
        </w:tc>
        <w:tc>
          <w:tcPr>
            <w:tcW w:type="dxa" w:w="2160"/>
          </w:tcPr>
          <w:p>
            <w:r>
              <w:t>Temperate</w:t>
            </w:r>
          </w:p>
        </w:tc>
        <w:tc>
          <w:tcPr>
            <w:tcW w:type="dxa" w:w="2160"/>
          </w:tcPr>
          <w:p>
            <w:r>
              <w:t>M1.3, M1.6, M4.2</w:t>
            </w:r>
          </w:p>
        </w:tc>
        <w:tc>
          <w:tcPr>
            <w:tcW w:type="dxa" w:w="2160"/>
          </w:tcPr>
          <w:p>
            <w:r>
              <w:t>Snow cooling + aquaculture (WDC model)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