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ORCS Implementation Roadmap</w:t>
      </w:r>
    </w:p>
    <w:p>
      <w:r>
        <w:t>Phased Deployment Strategy for Node Zero</w:t>
      </w:r>
    </w:p>
    <w:p>
      <w:r>
        <w:t>Atlas Lattice Foundation | April 2026</w:t>
      </w:r>
    </w:p>
    <w:p/>
    <w:p>
      <w:pPr>
        <w:pStyle w:val="Heading1"/>
      </w:pPr>
      <w:r>
        <w:t>1. Node Zero: The First 100 Days</w:t>
      </w:r>
    </w:p>
    <w:p>
      <w:r>
        <w:t>Adapted from Qwen3's First 100 Days Playbook, this roadmap provides a week-by-week implementation sequence for the inaugural ORCS facility.</w:t>
      </w:r>
    </w:p>
    <w:p>
      <w:pPr>
        <w:pStyle w:val="Heading2"/>
      </w:pPr>
      <w:r>
        <w:t>1.1 Weeks 1–2: Foundation</w:t>
      </w:r>
    </w:p>
    <w:p>
      <w:r>
        <w:t>Complete site geological and hydrological survey. Map all agricultural operations within 10km radius. Engage local utility commission for preliminary thermal sales discussion. Establish baseline water consumption metrics. Deploy IoT sensor network (M5.1) for real-time monitoring.</w:t>
      </w:r>
    </w:p>
    <w:p>
      <w:pPr>
        <w:pStyle w:val="Heading2"/>
      </w:pPr>
      <w:r>
        <w:t>1.2 Weeks 3–4: Quick Wins</w:t>
      </w:r>
    </w:p>
    <w:p>
      <w:r>
        <w:t>Implement M2.3 (raised supply air temperature) — immediate 3–6% cooling reduction at zero cost. Deploy M3.7 (precision humidity zoning) — eliminate unnecessary humidification. Install M5.2 (smart coolant health monitoring) — prevent water-wasting flush cycles. Publish first Watershed Days baseline report.</w:t>
      </w:r>
    </w:p>
    <w:p>
      <w:pPr>
        <w:pStyle w:val="Heading2"/>
      </w:pPr>
      <w:r>
        <w:t>1.3 Weeks 5–8: Core Infrastructure Planning</w:t>
      </w:r>
    </w:p>
    <w:p>
      <w:r>
        <w:t>Issue RFP for M2.1 (hybrid wet-dry cooling system). Begin M4.2 (rainwater harvesting) engineering design. Initiate M3.1 (electrolytic scale control) procurement. Identify and approach top 3 agricultural partnership candidates. Begin regulatory pre-engagement for thermal sales framework.</w:t>
      </w:r>
    </w:p>
    <w:p>
      <w:pPr>
        <w:pStyle w:val="Heading2"/>
      </w:pPr>
      <w:r>
        <w:t>1.4 Weeks 9–12: Partnership Development</w:t>
      </w:r>
    </w:p>
    <w:p>
      <w:r>
        <w:t>Sign LOI with first agricultural partner for CEA thermal offtake. Complete M4.2 engineering design and begin construction. Install M3.1 electrolytic scale control system. Begin M1.1 (vapor recovery) engineering assessment. Publish second Watershed Days report showing Phase 1 improvements.</w:t>
      </w:r>
    </w:p>
    <w:p>
      <w:pPr>
        <w:pStyle w:val="Heading2"/>
      </w:pPr>
      <w:r>
        <w:t>1.5 Weeks 13–14: Community Celebration</w:t>
      </w:r>
    </w:p>
    <w:p>
      <w:r>
        <w:t>Host community open house demonstrating regenerative infrastructure. Present Watershed Days data and agricultural partnership plans. Announce community benefit projections. Media engagement on regenerative compute narrative.</w:t>
      </w:r>
    </w:p>
    <w:p>
      <w:pPr>
        <w:pStyle w:val="Heading1"/>
      </w:pPr>
      <w:r>
        <w:t>2. Key Milestones and Decision 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Milestone</w:t>
            </w:r>
          </w:p>
        </w:tc>
        <w:tc>
          <w:tcPr>
            <w:tcW w:type="dxa" w:w="2160"/>
          </w:tcPr>
          <w:p>
            <w:r>
              <w:t>Target Date</w:t>
            </w:r>
          </w:p>
        </w:tc>
        <w:tc>
          <w:tcPr>
            <w:tcW w:type="dxa" w:w="2160"/>
          </w:tcPr>
          <w:p>
            <w:r>
              <w:t>Decision Gate</w:t>
            </w:r>
          </w:p>
        </w:tc>
        <w:tc>
          <w:tcPr>
            <w:tcW w:type="dxa" w:w="2160"/>
          </w:tcPr>
          <w:p>
            <w:r>
              <w:t>Go/No-Go Criteria</w:t>
            </w:r>
          </w:p>
        </w:tc>
      </w:tr>
      <w:tr>
        <w:tc>
          <w:tcPr>
            <w:tcW w:type="dxa" w:w="2160"/>
          </w:tcPr>
          <w:p>
            <w:r>
              <w:t>Baseline established</w:t>
            </w:r>
          </w:p>
        </w:tc>
        <w:tc>
          <w:tcPr>
            <w:tcW w:type="dxa" w:w="2160"/>
          </w:tcPr>
          <w:p>
            <w:r>
              <w:t>Month 1</w:t>
            </w:r>
          </w:p>
        </w:tc>
        <w:tc>
          <w:tcPr>
            <w:tcW w:type="dxa" w:w="2160"/>
          </w:tcPr>
          <w:p>
            <w:r>
              <w:t>—</w:t>
            </w:r>
          </w:p>
        </w:tc>
        <w:tc>
          <w:tcPr>
            <w:tcW w:type="dxa" w:w="2160"/>
          </w:tcPr>
          <w:p>
            <w:r>
              <w:t>Sensors deployed, data flowing</w:t>
            </w:r>
          </w:p>
        </w:tc>
      </w:tr>
      <w:tr>
        <w:tc>
          <w:tcPr>
            <w:tcW w:type="dxa" w:w="2160"/>
          </w:tcPr>
          <w:p>
            <w:r>
              <w:t>Phase 1 complete</w:t>
            </w:r>
          </w:p>
        </w:tc>
        <w:tc>
          <w:tcPr>
            <w:tcW w:type="dxa" w:w="2160"/>
          </w:tcPr>
          <w:p>
            <w:r>
              <w:t>Month 6</w:t>
            </w:r>
          </w:p>
        </w:tc>
        <w:tc>
          <w:tcPr>
            <w:tcW w:type="dxa" w:w="2160"/>
          </w:tcPr>
          <w:p>
            <w:r>
              <w:t>Proceed to Phase 2?</w:t>
            </w:r>
          </w:p>
        </w:tc>
        <w:tc>
          <w:tcPr>
            <w:tcW w:type="dxa" w:w="2160"/>
          </w:tcPr>
          <w:p>
            <w:r>
              <w:t>&gt;15% water reduction achieved</w:t>
            </w:r>
          </w:p>
        </w:tc>
      </w:tr>
      <w:tr>
        <w:tc>
          <w:tcPr>
            <w:tcW w:type="dxa" w:w="2160"/>
          </w:tcPr>
          <w:p>
            <w:r>
              <w:t>First agricultural LOI</w:t>
            </w:r>
          </w:p>
        </w:tc>
        <w:tc>
          <w:tcPr>
            <w:tcW w:type="dxa" w:w="2160"/>
          </w:tcPr>
          <w:p>
            <w:r>
              <w:t>Month 9</w:t>
            </w:r>
          </w:p>
        </w:tc>
        <w:tc>
          <w:tcPr>
            <w:tcW w:type="dxa" w:w="2160"/>
          </w:tcPr>
          <w:p>
            <w:r>
              <w:t>CEA viability confirmed?</w:t>
            </w:r>
          </w:p>
        </w:tc>
        <w:tc>
          <w:tcPr>
            <w:tcW w:type="dxa" w:w="2160"/>
          </w:tcPr>
          <w:p>
            <w:r>
              <w:t>Partner committed, thermal specs validated</w:t>
            </w:r>
          </w:p>
        </w:tc>
      </w:tr>
      <w:tr>
        <w:tc>
          <w:tcPr>
            <w:tcW w:type="dxa" w:w="2160"/>
          </w:tcPr>
          <w:p>
            <w:r>
              <w:t>Phase 2 core infrastructure</w:t>
            </w:r>
          </w:p>
        </w:tc>
        <w:tc>
          <w:tcPr>
            <w:tcW w:type="dxa" w:w="2160"/>
          </w:tcPr>
          <w:p>
            <w:r>
              <w:t>Month 18</w:t>
            </w:r>
          </w:p>
        </w:tc>
        <w:tc>
          <w:tcPr>
            <w:tcW w:type="dxa" w:w="2160"/>
          </w:tcPr>
          <w:p>
            <w:r>
              <w:t>Proceed to integration?</w:t>
            </w:r>
          </w:p>
        </w:tc>
        <w:tc>
          <w:tcPr>
            <w:tcW w:type="dxa" w:w="2160"/>
          </w:tcPr>
          <w:p>
            <w:r>
              <w:t>&gt;50% water reduction, M2.1 operational</w:t>
            </w:r>
          </w:p>
        </w:tc>
      </w:tr>
      <w:tr>
        <w:tc>
          <w:tcPr>
            <w:tcW w:type="dxa" w:w="2160"/>
          </w:tcPr>
          <w:p>
            <w:r>
              <w:t>Net-positive threshold</w:t>
            </w:r>
          </w:p>
        </w:tc>
        <w:tc>
          <w:tcPr>
            <w:tcW w:type="dxa" w:w="2160"/>
          </w:tcPr>
          <w:p>
            <w:r>
              <w:t>Month 30</w:t>
            </w:r>
          </w:p>
        </w:tc>
        <w:tc>
          <w:tcPr>
            <w:tcW w:type="dxa" w:w="2160"/>
          </w:tcPr>
          <w:p>
            <w:r>
              <w:t>Proceed to optimization?</w:t>
            </w:r>
          </w:p>
        </w:tc>
        <w:tc>
          <w:tcPr>
            <w:tcW w:type="dxa" w:w="2160"/>
          </w:tcPr>
          <w:p>
            <w:r>
              <w:t>+1 Watershed Day achieved</w:t>
            </w:r>
          </w:p>
        </w:tc>
      </w:tr>
      <w:tr>
        <w:tc>
          <w:tcPr>
            <w:tcW w:type="dxa" w:w="2160"/>
          </w:tcPr>
          <w:p>
            <w:r>
              <w:t>Sustained +365 Watershed Days</w:t>
            </w:r>
          </w:p>
        </w:tc>
        <w:tc>
          <w:tcPr>
            <w:tcW w:type="dxa" w:w="2160"/>
          </w:tcPr>
          <w:p>
            <w:r>
              <w:t>Month 42</w:t>
            </w:r>
          </w:p>
        </w:tc>
        <w:tc>
          <w:tcPr>
            <w:tcW w:type="dxa" w:w="2160"/>
          </w:tcPr>
          <w:p>
            <w:r>
              <w:t>Replicate to Node One?</w:t>
            </w:r>
          </w:p>
        </w:tc>
        <w:tc>
          <w:tcPr>
            <w:tcW w:type="dxa" w:w="2160"/>
          </w:tcPr>
          <w:p>
            <w:r>
              <w:t>12 consecutive months net-positive</w:t>
            </w:r>
          </w:p>
        </w:tc>
      </w:tr>
    </w:tbl>
    <w:p>
      <w:pPr>
        <w:pStyle w:val="Heading1"/>
      </w:pPr>
      <w:r>
        <w:t>3. Resource Allocation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Phase</w:t>
            </w:r>
          </w:p>
        </w:tc>
        <w:tc>
          <w:tcPr>
            <w:tcW w:type="dxa" w:w="1728"/>
          </w:tcPr>
          <w:p>
            <w:r>
              <w:t>Capital</w:t>
            </w:r>
          </w:p>
        </w:tc>
        <w:tc>
          <w:tcPr>
            <w:tcW w:type="dxa" w:w="1728"/>
          </w:tcPr>
          <w:p>
            <w:r>
              <w:t>Team Size</w:t>
            </w:r>
          </w:p>
        </w:tc>
        <w:tc>
          <w:tcPr>
            <w:tcW w:type="dxa" w:w="1728"/>
          </w:tcPr>
          <w:p>
            <w:r>
              <w:t>External Partners</w:t>
            </w:r>
          </w:p>
        </w:tc>
        <w:tc>
          <w:tcPr>
            <w:tcW w:type="dxa" w:w="1728"/>
          </w:tcPr>
          <w:p>
            <w:r>
              <w:t>Duration</w:t>
            </w:r>
          </w:p>
        </w:tc>
      </w:tr>
      <w:tr>
        <w:tc>
          <w:tcPr>
            <w:tcW w:type="dxa" w:w="1728"/>
          </w:tcPr>
          <w:p>
            <w:r>
              <w:t>Phase 0: Assessment</w:t>
            </w:r>
          </w:p>
        </w:tc>
        <w:tc>
          <w:tcPr>
            <w:tcW w:type="dxa" w:w="1728"/>
          </w:tcPr>
          <w:p>
            <w:r>
              <w:t>$200–500K</w:t>
            </w:r>
          </w:p>
        </w:tc>
        <w:tc>
          <w:tcPr>
            <w:tcW w:type="dxa" w:w="1728"/>
          </w:tcPr>
          <w:p>
            <w:r>
              <w:t>3–5 FTE</w:t>
            </w:r>
          </w:p>
        </w:tc>
        <w:tc>
          <w:tcPr>
            <w:tcW w:type="dxa" w:w="1728"/>
          </w:tcPr>
          <w:p>
            <w:r>
              <w:t>Geological surveyor, regulatory consultant</w:t>
            </w:r>
          </w:p>
        </w:tc>
        <w:tc>
          <w:tcPr>
            <w:tcW w:type="dxa" w:w="1728"/>
          </w:tcPr>
          <w:p>
            <w:r>
              <w:t>3–6 months</w:t>
            </w:r>
          </w:p>
        </w:tc>
      </w:tr>
      <w:tr>
        <w:tc>
          <w:tcPr>
            <w:tcW w:type="dxa" w:w="1728"/>
          </w:tcPr>
          <w:p>
            <w:r>
              <w:t>Phase 1: Quick Wins</w:t>
            </w:r>
          </w:p>
        </w:tc>
        <w:tc>
          <w:tcPr>
            <w:tcW w:type="dxa" w:w="1728"/>
          </w:tcPr>
          <w:p>
            <w:r>
              <w:t>$0.5–1M</w:t>
            </w:r>
          </w:p>
        </w:tc>
        <w:tc>
          <w:tcPr>
            <w:tcW w:type="dxa" w:w="1728"/>
          </w:tcPr>
          <w:p>
            <w:r>
              <w:t>5–8 FTE</w:t>
            </w:r>
          </w:p>
        </w:tc>
        <w:tc>
          <w:tcPr>
            <w:tcW w:type="dxa" w:w="1728"/>
          </w:tcPr>
          <w:p>
            <w:r>
              <w:t>Equipment vendors</w:t>
            </w:r>
          </w:p>
        </w:tc>
        <w:tc>
          <w:tcPr>
            <w:tcW w:type="dxa" w:w="1728"/>
          </w:tcPr>
          <w:p>
            <w:r>
              <w:t>6–12 months</w:t>
            </w:r>
          </w:p>
        </w:tc>
      </w:tr>
      <w:tr>
        <w:tc>
          <w:tcPr>
            <w:tcW w:type="dxa" w:w="1728"/>
          </w:tcPr>
          <w:p>
            <w:r>
              <w:t>Phase 2: Core Infra</w:t>
            </w:r>
          </w:p>
        </w:tc>
        <w:tc>
          <w:tcPr>
            <w:tcW w:type="dxa" w:w="1728"/>
          </w:tcPr>
          <w:p>
            <w:r>
              <w:t>$5–15M</w:t>
            </w:r>
          </w:p>
        </w:tc>
        <w:tc>
          <w:tcPr>
            <w:tcW w:type="dxa" w:w="1728"/>
          </w:tcPr>
          <w:p>
            <w:r>
              <w:t>10–15 FTE</w:t>
            </w:r>
          </w:p>
        </w:tc>
        <w:tc>
          <w:tcPr>
            <w:tcW w:type="dxa" w:w="1728"/>
          </w:tcPr>
          <w:p>
            <w:r>
              <w:t>HVAC contractors, water treatment</w:t>
            </w:r>
          </w:p>
        </w:tc>
        <w:tc>
          <w:tcPr>
            <w:tcW w:type="dxa" w:w="1728"/>
          </w:tcPr>
          <w:p>
            <w:r>
              <w:t>12–24 months</w:t>
            </w:r>
          </w:p>
        </w:tc>
      </w:tr>
      <w:tr>
        <w:tc>
          <w:tcPr>
            <w:tcW w:type="dxa" w:w="1728"/>
          </w:tcPr>
          <w:p>
            <w:r>
              <w:t>Phase 3: Integration</w:t>
            </w:r>
          </w:p>
        </w:tc>
        <w:tc>
          <w:tcPr>
            <w:tcW w:type="dxa" w:w="1728"/>
          </w:tcPr>
          <w:p>
            <w:r>
              <w:t>$10–25M</w:t>
            </w:r>
          </w:p>
        </w:tc>
        <w:tc>
          <w:tcPr>
            <w:tcW w:type="dxa" w:w="1728"/>
          </w:tcPr>
          <w:p>
            <w:r>
              <w:t>15–25 FTE</w:t>
            </w:r>
          </w:p>
        </w:tc>
        <w:tc>
          <w:tcPr>
            <w:tcW w:type="dxa" w:w="1728"/>
          </w:tcPr>
          <w:p>
            <w:r>
              <w:t>Agricultural co-ops, municipality, utility</w:t>
            </w:r>
          </w:p>
        </w:tc>
        <w:tc>
          <w:tcPr>
            <w:tcW w:type="dxa" w:w="1728"/>
          </w:tcPr>
          <w:p>
            <w:r>
              <w:t>24–36 months</w:t>
            </w:r>
          </w:p>
        </w:tc>
      </w:tr>
      <w:tr>
        <w:tc>
          <w:tcPr>
            <w:tcW w:type="dxa" w:w="1728"/>
          </w:tcPr>
          <w:p>
            <w:r>
              <w:t>Phase 4: Optimization</w:t>
            </w:r>
          </w:p>
        </w:tc>
        <w:tc>
          <w:tcPr>
            <w:tcW w:type="dxa" w:w="1728"/>
          </w:tcPr>
          <w:p>
            <w:r>
              <w:t>$5–10M</w:t>
            </w:r>
          </w:p>
        </w:tc>
        <w:tc>
          <w:tcPr>
            <w:tcW w:type="dxa" w:w="1728"/>
          </w:tcPr>
          <w:p>
            <w:r>
              <w:t>8–12 FTE</w:t>
            </w:r>
          </w:p>
        </w:tc>
        <w:tc>
          <w:tcPr>
            <w:tcW w:type="dxa" w:w="1728"/>
          </w:tcPr>
          <w:p>
            <w:r>
              <w:t>Research institutions, advanced tech vendors</w:t>
            </w:r>
          </w:p>
        </w:tc>
        <w:tc>
          <w:tcPr>
            <w:tcW w:type="dxa" w:w="1728"/>
          </w:tcPr>
          <w:p>
            <w:r>
              <w:t>36–48 months</w:t>
            </w:r>
          </w:p>
        </w:tc>
      </w:tr>
    </w:tbl>
    <w:p>
      <w:pPr>
        <w:pStyle w:val="Heading1"/>
      </w:pPr>
      <w:r>
        <w:t>4. Timeline Projections</w:t>
      </w:r>
    </w:p>
    <w:p>
      <w:r>
        <w:t>Total deployment timeline from site selection to sustained net-positive operation: 36–48 months. This is aggressive but achievable given that individual modules are largely proven technology; the innovation is in the integration architecture, not the components.</w:t>
      </w:r>
    </w:p>
    <w:p>
      <w:r>
        <w:t>Critical path items: M2.1 procurement (long lead time), agricultural partnership development (relationship-dependent), regulatory framework for thermal sales (jurisdiction-dependent). These three items should begin in parallel during Phase 0.</w:t>
      </w:r>
    </w:p>
    <w:p>
      <w:pPr>
        <w:pStyle w:val="Heading1"/>
      </w:pPr>
      <w:r>
        <w:t>5. Replication Strategy: From Node Zero to Network</w:t>
      </w:r>
    </w:p>
    <w:p>
      <w:r>
        <w:t>Node Zero serves as the proof-of-concept. Once sustained +365 Watershed Days is achieved, the replication strategy follows:</w:t>
      </w:r>
    </w:p>
    <w:p>
      <w:r>
        <w:t>Node One: Second facility in a different climate cluster (e.g., arid or coastal) to validate the framework's adaptability. Target: 6 months after Node Zero achieves sustained net-positive.</w:t>
      </w:r>
    </w:p>
    <w:p>
      <w:r>
        <w:t>Network Phase: Open-source the complete engineering specifications, operational data, and partnership templates. Enable any operator to deploy ORCS modules without licensing fees. Target: 12 months after Node One operational.</w:t>
      </w:r>
    </w:p>
    <w:p>
      <w:r>
        <w:t>Standard Adoption: Engage ASHRAE, The Green Grid, and relevant standards bodies to incorporate ORCS metrics (Watershed Days, Thermal Utilization Rate) into industry benchmarks. Target: 24 months after network phase.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