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ORCS Complete Module Inventory</w:t>
      </w:r>
    </w:p>
    <w:p>
      <w:r>
        <w:t>All 40+ Modules — Water Efficiency Stack Reference</w:t>
      </w:r>
    </w:p>
    <w:p>
      <w:r>
        <w:t>Atlas Lattice Foundation | April 2026 | Nine-Model Convergence</w:t>
      </w:r>
    </w:p>
    <w:p/>
    <w:p>
      <w:pPr>
        <w:pStyle w:val="Heading1"/>
      </w:pPr>
      <w:r>
        <w:t>Category 1: Heat Rejection Strategies (M1.1–M1.8)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M1.1</w:t>
            </w:r>
          </w:p>
        </w:tc>
        <w:tc>
          <w:tcPr>
            <w:tcW w:type="dxa" w:w="1728"/>
          </w:tcPr>
          <w:p>
            <w:r>
              <w:t>Source-Capture Vapor Recovery (Retrofit)</w:t>
            </w:r>
          </w:p>
        </w:tc>
        <w:tc>
          <w:tcPr>
            <w:tcW w:type="dxa" w:w="1728"/>
          </w:tcPr>
          <w:p>
            <w:r>
              <w:t>5–15%</w:t>
            </w:r>
          </w:p>
        </w:tc>
        <w:tc>
          <w:tcPr>
            <w:tcW w:type="dxa" w:w="1728"/>
          </w:tcPr>
          <w:p>
            <w:r>
              <w:t>Deployed adjacent</w:t>
            </w:r>
          </w:p>
        </w:tc>
        <w:tc>
          <w:tcPr>
            <w:tcW w:type="dxa" w:w="1728"/>
          </w:tcPr>
          <w:p>
            <w:r>
              <w:t>6–18 months</w:t>
            </w:r>
          </w:p>
        </w:tc>
      </w:tr>
      <w:tr>
        <w:tc>
          <w:tcPr>
            <w:tcW w:type="dxa" w:w="1728"/>
          </w:tcPr>
          <w:p>
            <w:r>
              <w:t>M1.2</w:t>
            </w:r>
          </w:p>
        </w:tc>
        <w:tc>
          <w:tcPr>
            <w:tcW w:type="dxa" w:w="1728"/>
          </w:tcPr>
          <w:p>
            <w:r>
              <w:t>Source-Capture Vapor Recovery (Sealed Hall)</w:t>
            </w:r>
          </w:p>
        </w:tc>
        <w:tc>
          <w:tcPr>
            <w:tcW w:type="dxa" w:w="1728"/>
          </w:tcPr>
          <w:p>
            <w:r>
              <w:t>15–30%</w:t>
            </w:r>
          </w:p>
        </w:tc>
        <w:tc>
          <w:tcPr>
            <w:tcW w:type="dxa" w:w="1728"/>
          </w:tcPr>
          <w:p>
            <w:r>
              <w:t>Research-stage</w:t>
            </w:r>
          </w:p>
        </w:tc>
        <w:tc>
          <w:tcPr>
            <w:tcW w:type="dxa" w:w="1728"/>
          </w:tcPr>
          <w:p>
            <w:r>
              <w:t>24–36 months</w:t>
            </w:r>
          </w:p>
        </w:tc>
      </w:tr>
      <w:tr>
        <w:tc>
          <w:tcPr>
            <w:tcW w:type="dxa" w:w="1728"/>
          </w:tcPr>
          <w:p>
            <w:r>
              <w:t>M1.3</w:t>
            </w:r>
          </w:p>
        </w:tc>
        <w:tc>
          <w:tcPr>
            <w:tcW w:type="dxa" w:w="1728"/>
          </w:tcPr>
          <w:p>
            <w:r>
              <w:t>Waste Heat Offtake to CEA</w:t>
            </w:r>
          </w:p>
        </w:tc>
        <w:tc>
          <w:tcPr>
            <w:tcW w:type="dxa" w:w="1728"/>
          </w:tcPr>
          <w:p>
            <w:r>
              <w:t>Net positive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12–36 months</w:t>
            </w:r>
          </w:p>
        </w:tc>
      </w:tr>
      <w:tr>
        <w:tc>
          <w:tcPr>
            <w:tcW w:type="dxa" w:w="1728"/>
          </w:tcPr>
          <w:p>
            <w:r>
              <w:t>M1.4</w:t>
            </w:r>
          </w:p>
        </w:tc>
        <w:tc>
          <w:tcPr>
            <w:tcW w:type="dxa" w:w="1728"/>
          </w:tcPr>
          <w:p>
            <w:r>
              <w:t>Wastewater Thermal Siphon</w:t>
            </w:r>
          </w:p>
        </w:tc>
        <w:tc>
          <w:tcPr>
            <w:tcW w:type="dxa" w:w="1728"/>
          </w:tcPr>
          <w:p>
            <w:r>
              <w:t>40–70%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18–30 months</w:t>
            </w:r>
          </w:p>
        </w:tc>
      </w:tr>
      <w:tr>
        <w:tc>
          <w:tcPr>
            <w:tcW w:type="dxa" w:w="1728"/>
          </w:tcPr>
          <w:p>
            <w:r>
              <w:t>M1.5</w:t>
            </w:r>
          </w:p>
        </w:tc>
        <w:tc>
          <w:tcPr>
            <w:tcW w:type="dxa" w:w="1728"/>
          </w:tcPr>
          <w:p>
            <w:r>
              <w:t>Seawater Cooling (Titanium HX)</w:t>
            </w:r>
          </w:p>
        </w:tc>
        <w:tc>
          <w:tcPr>
            <w:tcW w:type="dxa" w:w="1728"/>
          </w:tcPr>
          <w:p>
            <w:r>
              <w:t>80–95%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New-build</w:t>
            </w:r>
          </w:p>
        </w:tc>
      </w:tr>
      <w:tr>
        <w:tc>
          <w:tcPr>
            <w:tcW w:type="dxa" w:w="1728"/>
          </w:tcPr>
          <w:p>
            <w:r>
              <w:t>M1.6</w:t>
            </w:r>
          </w:p>
        </w:tc>
        <w:tc>
          <w:tcPr>
            <w:tcW w:type="dxa" w:w="1728"/>
          </w:tcPr>
          <w:p>
            <w:r>
              <w:t>Closed-Loop Lake/River HX</w:t>
            </w:r>
          </w:p>
        </w:tc>
        <w:tc>
          <w:tcPr>
            <w:tcW w:type="dxa" w:w="1728"/>
          </w:tcPr>
          <w:p>
            <w:r>
              <w:t>70–90%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18–36 months</w:t>
            </w:r>
          </w:p>
        </w:tc>
      </w:tr>
      <w:tr>
        <w:tc>
          <w:tcPr>
            <w:tcW w:type="dxa" w:w="1728"/>
          </w:tcPr>
          <w:p>
            <w:r>
              <w:t>M1.7</w:t>
            </w:r>
          </w:p>
        </w:tc>
        <w:tc>
          <w:tcPr>
            <w:tcW w:type="dxa" w:w="1728"/>
          </w:tcPr>
          <w:p>
            <w:r>
              <w:t>Aquifer Thermal Energy Storage</w:t>
            </w:r>
          </w:p>
        </w:tc>
        <w:tc>
          <w:tcPr>
            <w:tcW w:type="dxa" w:w="1728"/>
          </w:tcPr>
          <w:p>
            <w:r>
              <w:t>60–85%</w:t>
            </w:r>
          </w:p>
        </w:tc>
        <w:tc>
          <w:tcPr>
            <w:tcW w:type="dxa" w:w="1728"/>
          </w:tcPr>
          <w:p>
            <w:r>
              <w:t>Deployed (small); research (hyperscale)</w:t>
            </w:r>
          </w:p>
        </w:tc>
        <w:tc>
          <w:tcPr>
            <w:tcW w:type="dxa" w:w="1728"/>
          </w:tcPr>
          <w:p>
            <w:r>
              <w:t>24–48 months</w:t>
            </w:r>
          </w:p>
        </w:tc>
      </w:tr>
      <w:tr>
        <w:tc>
          <w:tcPr>
            <w:tcW w:type="dxa" w:w="1728"/>
          </w:tcPr>
          <w:p>
            <w:r>
              <w:t>M1.8</w:t>
            </w:r>
          </w:p>
        </w:tc>
        <w:tc>
          <w:tcPr>
            <w:tcW w:type="dxa" w:w="1728"/>
          </w:tcPr>
          <w:p>
            <w:r>
              <w:t>Subsurface/Cave Siting</w:t>
            </w:r>
          </w:p>
        </w:tc>
        <w:tc>
          <w:tcPr>
            <w:tcW w:type="dxa" w:w="1728"/>
          </w:tcPr>
          <w:p>
            <w:r>
              <w:t>30–60%</w:t>
            </w:r>
          </w:p>
        </w:tc>
        <w:tc>
          <w:tcPr>
            <w:tcW w:type="dxa" w:w="1728"/>
          </w:tcPr>
          <w:p>
            <w:r>
              <w:t>Deployed niche</w:t>
            </w:r>
          </w:p>
        </w:tc>
        <w:tc>
          <w:tcPr>
            <w:tcW w:type="dxa" w:w="1728"/>
          </w:tcPr>
          <w:p>
            <w:r>
              <w:t>New-build</w:t>
            </w:r>
          </w:p>
        </w:tc>
      </w:tr>
    </w:tbl>
    <w:p>
      <w:pPr>
        <w:pStyle w:val="Heading1"/>
      </w:pPr>
      <w:r>
        <w:t>Category 2: Cooling Architecture (M2.1–M2.9)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M2.1</w:t>
            </w:r>
          </w:p>
        </w:tc>
        <w:tc>
          <w:tcPr>
            <w:tcW w:type="dxa" w:w="1728"/>
          </w:tcPr>
          <w:p>
            <w:r>
              <w:t>Hybrid Wet-Dry Cooling</w:t>
            </w:r>
          </w:p>
        </w:tc>
        <w:tc>
          <w:tcPr>
            <w:tcW w:type="dxa" w:w="1728"/>
          </w:tcPr>
          <w:p>
            <w:r>
              <w:t>40–80%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M2.2</w:t>
            </w:r>
          </w:p>
        </w:tc>
        <w:tc>
          <w:tcPr>
            <w:tcW w:type="dxa" w:w="1728"/>
          </w:tcPr>
          <w:p>
            <w:r>
              <w:t>Adiabatic Assist on Dry Coolers</w:t>
            </w:r>
          </w:p>
        </w:tc>
        <w:tc>
          <w:tcPr>
            <w:tcW w:type="dxa" w:w="1728"/>
          </w:tcPr>
          <w:p>
            <w:r>
              <w:t>20–40% efficiency gain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3–12 months</w:t>
            </w:r>
          </w:p>
        </w:tc>
      </w:tr>
      <w:tr>
        <w:tc>
          <w:tcPr>
            <w:tcW w:type="dxa" w:w="1728"/>
          </w:tcPr>
          <w:p>
            <w:r>
              <w:t>M2.3</w:t>
            </w:r>
          </w:p>
        </w:tc>
        <w:tc>
          <w:tcPr>
            <w:tcW w:type="dxa" w:w="1728"/>
          </w:tcPr>
          <w:p>
            <w:r>
              <w:t>Raised Supply Air Temperature</w:t>
            </w:r>
          </w:p>
        </w:tc>
        <w:tc>
          <w:tcPr>
            <w:tcW w:type="dxa" w:w="1728"/>
          </w:tcPr>
          <w:p>
            <w:r>
              <w:t>3–6% per °C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M2.4</w:t>
            </w:r>
          </w:p>
        </w:tc>
        <w:tc>
          <w:tcPr>
            <w:tcW w:type="dxa" w:w="1728"/>
          </w:tcPr>
          <w:p>
            <w:r>
              <w:t>Direct-to-Chip Liquid Cooling (Water)</w:t>
            </w:r>
          </w:p>
        </w:tc>
        <w:tc>
          <w:tcPr>
            <w:tcW w:type="dxa" w:w="1728"/>
          </w:tcPr>
          <w:p>
            <w:r>
              <w:t>30–50%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M2.5</w:t>
            </w:r>
          </w:p>
        </w:tc>
        <w:tc>
          <w:tcPr>
            <w:tcW w:type="dxa" w:w="1728"/>
          </w:tcPr>
          <w:p>
            <w:r>
              <w:t>Waterless DTC (Dielectric)</w:t>
            </w:r>
          </w:p>
        </w:tc>
        <w:tc>
          <w:tcPr>
            <w:tcW w:type="dxa" w:w="1728"/>
          </w:tcPr>
          <w:p>
            <w:r>
              <w:t>Same as M2.4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M2.6</w:t>
            </w:r>
          </w:p>
        </w:tc>
        <w:tc>
          <w:tcPr>
            <w:tcW w:type="dxa" w:w="1728"/>
          </w:tcPr>
          <w:p>
            <w:r>
              <w:t>PCM Thermal Storage</w:t>
            </w:r>
          </w:p>
        </w:tc>
        <w:tc>
          <w:tcPr>
            <w:tcW w:type="dxa" w:w="1728"/>
          </w:tcPr>
          <w:p>
            <w:r>
              <w:t>15–30% peak</w:t>
            </w:r>
          </w:p>
        </w:tc>
        <w:tc>
          <w:tcPr>
            <w:tcW w:type="dxa" w:w="1728"/>
          </w:tcPr>
          <w:p>
            <w:r>
              <w:t>Deployed (district)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M2.7</w:t>
            </w:r>
          </w:p>
        </w:tc>
        <w:tc>
          <w:tcPr>
            <w:tcW w:type="dxa" w:w="1728"/>
          </w:tcPr>
          <w:p>
            <w:r>
              <w:t>Plant-Based Dielectric Immersion</w:t>
            </w:r>
          </w:p>
        </w:tc>
        <w:tc>
          <w:tcPr>
            <w:tcW w:type="dxa" w:w="1728"/>
          </w:tcPr>
          <w:p>
            <w:r>
              <w:t>Equivalent</w:t>
            </w:r>
          </w:p>
        </w:tc>
        <w:tc>
          <w:tcPr>
            <w:tcW w:type="dxa" w:w="1728"/>
          </w:tcPr>
          <w:p>
            <w:r>
              <w:t>Early deployed</w:t>
            </w:r>
          </w:p>
        </w:tc>
        <w:tc>
          <w:tcPr>
            <w:tcW w:type="dxa" w:w="1728"/>
          </w:tcPr>
          <w:p>
            <w:r>
              <w:t>12–18 months</w:t>
            </w:r>
          </w:p>
        </w:tc>
      </w:tr>
      <w:tr>
        <w:tc>
          <w:tcPr>
            <w:tcW w:type="dxa" w:w="1728"/>
          </w:tcPr>
          <w:p>
            <w:r>
              <w:t>M2.8</w:t>
            </w:r>
          </w:p>
        </w:tc>
        <w:tc>
          <w:tcPr>
            <w:tcW w:type="dxa" w:w="1728"/>
          </w:tcPr>
          <w:p>
            <w:r>
              <w:t>Closed-Loop Precision Liquid</w:t>
            </w:r>
          </w:p>
        </w:tc>
        <w:tc>
          <w:tcPr>
            <w:tcW w:type="dxa" w:w="1728"/>
          </w:tcPr>
          <w:p>
            <w:r>
              <w:t>Near-zero in hall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M2.9</w:t>
            </w:r>
          </w:p>
        </w:tc>
        <w:tc>
          <w:tcPr>
            <w:tcW w:type="dxa" w:w="1728"/>
          </w:tcPr>
          <w:p>
            <w:r>
              <w:t>Demand Shifting (Workload)</w:t>
            </w:r>
          </w:p>
        </w:tc>
        <w:tc>
          <w:tcPr>
            <w:tcW w:type="dxa" w:w="1728"/>
          </w:tcPr>
          <w:p>
            <w:r>
              <w:t>5–15% peak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6–12 months</w:t>
            </w:r>
          </w:p>
        </w:tc>
      </w:tr>
    </w:tbl>
    <w:p>
      <w:pPr>
        <w:pStyle w:val="Heading1"/>
      </w:pPr>
      <w:r>
        <w:t>Category 3: Water Treatment &amp; Chemistry (M3.1–M3.7)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M3.1</w:t>
            </w:r>
          </w:p>
        </w:tc>
        <w:tc>
          <w:tcPr>
            <w:tcW w:type="dxa" w:w="1728"/>
          </w:tcPr>
          <w:p>
            <w:r>
              <w:t>Electrolytic Scale Control</w:t>
            </w:r>
          </w:p>
        </w:tc>
        <w:tc>
          <w:tcPr>
            <w:tcW w:type="dxa" w:w="1728"/>
          </w:tcPr>
          <w:p>
            <w:r>
              <w:t>50–75% blowdown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6–12 months</w:t>
            </w:r>
          </w:p>
        </w:tc>
      </w:tr>
      <w:tr>
        <w:tc>
          <w:tcPr>
            <w:tcW w:type="dxa" w:w="1728"/>
          </w:tcPr>
          <w:p>
            <w:r>
              <w:t>M3.2</w:t>
            </w:r>
          </w:p>
        </w:tc>
        <w:tc>
          <w:tcPr>
            <w:tcW w:type="dxa" w:w="1728"/>
          </w:tcPr>
          <w:p>
            <w:r>
              <w:t>Pellet Reactor Softening</w:t>
            </w:r>
          </w:p>
        </w:tc>
        <w:tc>
          <w:tcPr>
            <w:tcW w:type="dxa" w:w="1728"/>
          </w:tcPr>
          <w:p>
            <w:r>
              <w:t>30–50% blowdown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6–18 months</w:t>
            </w:r>
          </w:p>
        </w:tc>
      </w:tr>
      <w:tr>
        <w:tc>
          <w:tcPr>
            <w:tcW w:type="dxa" w:w="1728"/>
          </w:tcPr>
          <w:p>
            <w:r>
              <w:t>M3.3</w:t>
            </w:r>
          </w:p>
        </w:tc>
        <w:tc>
          <w:tcPr>
            <w:tcW w:type="dxa" w:w="1728"/>
          </w:tcPr>
          <w:p>
            <w:r>
              <w:t>Mechanical Vapor Recompression</w:t>
            </w:r>
          </w:p>
        </w:tc>
        <w:tc>
          <w:tcPr>
            <w:tcW w:type="dxa" w:w="1728"/>
          </w:tcPr>
          <w:p>
            <w:r>
              <w:t>60–85% brine recovery</w:t>
            </w:r>
          </w:p>
        </w:tc>
        <w:tc>
          <w:tcPr>
            <w:tcW w:type="dxa" w:w="1728"/>
          </w:tcPr>
          <w:p>
            <w:r>
              <w:t>Deployed (industrial)</w:t>
            </w:r>
          </w:p>
        </w:tc>
        <w:tc>
          <w:tcPr>
            <w:tcW w:type="dxa" w:w="1728"/>
          </w:tcPr>
          <w:p>
            <w:r>
              <w:t>18–36 months</w:t>
            </w:r>
          </w:p>
        </w:tc>
      </w:tr>
      <w:tr>
        <w:tc>
          <w:tcPr>
            <w:tcW w:type="dxa" w:w="1728"/>
          </w:tcPr>
          <w:p>
            <w:r>
              <w:t>M3.4</w:t>
            </w:r>
          </w:p>
        </w:tc>
        <w:tc>
          <w:tcPr>
            <w:tcW w:type="dxa" w:w="1728"/>
          </w:tcPr>
          <w:p>
            <w:r>
              <w:t>Forward Osmosis Blowdown Recovery</w:t>
            </w:r>
          </w:p>
        </w:tc>
        <w:tc>
          <w:tcPr>
            <w:tcW w:type="dxa" w:w="1728"/>
          </w:tcPr>
          <w:p>
            <w:r>
              <w:t>50–80% recovery</w:t>
            </w:r>
          </w:p>
        </w:tc>
        <w:tc>
          <w:tcPr>
            <w:tcW w:type="dxa" w:w="1728"/>
          </w:tcPr>
          <w:p>
            <w:r>
              <w:t>Pilot 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M3.5</w:t>
            </w:r>
          </w:p>
        </w:tc>
        <w:tc>
          <w:tcPr>
            <w:tcW w:type="dxa" w:w="1728"/>
          </w:tcPr>
          <w:p>
            <w:r>
              <w:t>Semiconductor Stream-Segregation</w:t>
            </w:r>
          </w:p>
        </w:tc>
        <w:tc>
          <w:tcPr>
            <w:tcW w:type="dxa" w:w="1728"/>
          </w:tcPr>
          <w:p>
            <w:r>
              <w:t>85–95% recycling</w:t>
            </w:r>
          </w:p>
        </w:tc>
        <w:tc>
          <w:tcPr>
            <w:tcW w:type="dxa" w:w="1728"/>
          </w:tcPr>
          <w:p>
            <w:r>
              <w:t>Deployed (fabs)</w:t>
            </w:r>
          </w:p>
        </w:tc>
        <w:tc>
          <w:tcPr>
            <w:tcW w:type="dxa" w:w="1728"/>
          </w:tcPr>
          <w:p>
            <w:r>
              <w:t>24–48 months</w:t>
            </w:r>
          </w:p>
        </w:tc>
      </w:tr>
      <w:tr>
        <w:tc>
          <w:tcPr>
            <w:tcW w:type="dxa" w:w="1728"/>
          </w:tcPr>
          <w:p>
            <w:r>
              <w:t>M3.6</w:t>
            </w:r>
          </w:p>
        </w:tc>
        <w:tc>
          <w:tcPr>
            <w:tcW w:type="dxa" w:w="1728"/>
          </w:tcPr>
          <w:p>
            <w:r>
              <w:t>Advanced Membrane Desalination</w:t>
            </w:r>
          </w:p>
        </w:tc>
        <w:tc>
          <w:tcPr>
            <w:tcW w:type="dxa" w:w="1728"/>
          </w:tcPr>
          <w:p>
            <w:r>
              <w:t>70–95% recovery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M3.7</w:t>
            </w:r>
          </w:p>
        </w:tc>
        <w:tc>
          <w:tcPr>
            <w:tcW w:type="dxa" w:w="1728"/>
          </w:tcPr>
          <w:p>
            <w:r>
              <w:t>Precision Humidity Control Zoning</w:t>
            </w:r>
          </w:p>
        </w:tc>
        <w:tc>
          <w:tcPr>
            <w:tcW w:type="dxa" w:w="1728"/>
          </w:tcPr>
          <w:p>
            <w:r>
              <w:t>100% humidification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3–9 months</w:t>
            </w:r>
          </w:p>
        </w:tc>
      </w:tr>
    </w:tbl>
    <w:p>
      <w:pPr>
        <w:pStyle w:val="Heading1"/>
      </w:pPr>
      <w:r>
        <w:t>Category 4: Site Water Integration (M4.1–M4.8)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M4.1</w:t>
            </w:r>
          </w:p>
        </w:tc>
        <w:tc>
          <w:tcPr>
            <w:tcW w:type="dxa" w:w="1728"/>
          </w:tcPr>
          <w:p>
            <w:r>
              <w:t>Greywater Integration (Municipal)</w:t>
            </w:r>
          </w:p>
        </w:tc>
        <w:tc>
          <w:tcPr>
            <w:tcW w:type="dxa" w:w="1728"/>
          </w:tcPr>
          <w:p>
            <w:r>
              <w:t>100% potable sub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18–36 months</w:t>
            </w:r>
          </w:p>
        </w:tc>
      </w:tr>
      <w:tr>
        <w:tc>
          <w:tcPr>
            <w:tcW w:type="dxa" w:w="1728"/>
          </w:tcPr>
          <w:p>
            <w:r>
              <w:t>M4.2</w:t>
            </w:r>
          </w:p>
        </w:tc>
        <w:tc>
          <w:tcPr>
            <w:tcW w:type="dxa" w:w="1728"/>
          </w:tcPr>
          <w:p>
            <w:r>
              <w:t>Rainwater Harvesting</w:t>
            </w:r>
          </w:p>
        </w:tc>
        <w:tc>
          <w:tcPr>
            <w:tcW w:type="dxa" w:w="1728"/>
          </w:tcPr>
          <w:p>
            <w:r>
              <w:t>10–30% makeup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M4.3</w:t>
            </w:r>
          </w:p>
        </w:tc>
        <w:tc>
          <w:tcPr>
            <w:tcW w:type="dxa" w:w="1728"/>
          </w:tcPr>
          <w:p>
            <w:r>
              <w:t>Adaptive Stormwater Capture</w:t>
            </w:r>
          </w:p>
        </w:tc>
        <w:tc>
          <w:tcPr>
            <w:tcW w:type="dxa" w:w="1728"/>
          </w:tcPr>
          <w:p>
            <w:r>
              <w:t>5–20% supply</w:t>
            </w:r>
          </w:p>
        </w:tc>
        <w:tc>
          <w:tcPr>
            <w:tcW w:type="dxa" w:w="1728"/>
          </w:tcPr>
          <w:p>
            <w:r>
              <w:t>Emerging</w:t>
            </w:r>
          </w:p>
        </w:tc>
        <w:tc>
          <w:tcPr>
            <w:tcW w:type="dxa" w:w="1728"/>
          </w:tcPr>
          <w:p>
            <w:r>
              <w:t>18–30 months</w:t>
            </w:r>
          </w:p>
        </w:tc>
      </w:tr>
      <w:tr>
        <w:tc>
          <w:tcPr>
            <w:tcW w:type="dxa" w:w="1728"/>
          </w:tcPr>
          <w:p>
            <w:r>
              <w:t>M4.4</w:t>
            </w:r>
          </w:p>
        </w:tc>
        <w:tc>
          <w:tcPr>
            <w:tcW w:type="dxa" w:w="1728"/>
          </w:tcPr>
          <w:p>
            <w:r>
              <w:t>Monsoon Terraced Retention</w:t>
            </w:r>
          </w:p>
        </w:tc>
        <w:tc>
          <w:tcPr>
            <w:tcW w:type="dxa" w:w="1728"/>
          </w:tcPr>
          <w:p>
            <w:r>
              <w:t>30–60% supply</w:t>
            </w:r>
          </w:p>
        </w:tc>
        <w:tc>
          <w:tcPr>
            <w:tcW w:type="dxa" w:w="1728"/>
          </w:tcPr>
          <w:p>
            <w:r>
              <w:t>Research-stage</w:t>
            </w:r>
          </w:p>
        </w:tc>
        <w:tc>
          <w:tcPr>
            <w:tcW w:type="dxa" w:w="1728"/>
          </w:tcPr>
          <w:p>
            <w:r>
              <w:t>24–36 months</w:t>
            </w:r>
          </w:p>
        </w:tc>
      </w:tr>
      <w:tr>
        <w:tc>
          <w:tcPr>
            <w:tcW w:type="dxa" w:w="1728"/>
          </w:tcPr>
          <w:p>
            <w:r>
              <w:t>M4.5</w:t>
            </w:r>
          </w:p>
        </w:tc>
        <w:tc>
          <w:tcPr>
            <w:tcW w:type="dxa" w:w="1728"/>
          </w:tcPr>
          <w:p>
            <w:r>
              <w:t>Constructed Wetland Polishing</w:t>
            </w:r>
          </w:p>
        </w:tc>
        <w:tc>
          <w:tcPr>
            <w:tcW w:type="dxa" w:w="1728"/>
          </w:tcPr>
          <w:p>
            <w:r>
              <w:t>Treatment + community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18–36 months</w:t>
            </w:r>
          </w:p>
        </w:tc>
      </w:tr>
      <w:tr>
        <w:tc>
          <w:tcPr>
            <w:tcW w:type="dxa" w:w="1728"/>
          </w:tcPr>
          <w:p>
            <w:r>
              <w:t>M4.6</w:t>
            </w:r>
          </w:p>
        </w:tc>
        <w:tc>
          <w:tcPr>
            <w:tcW w:type="dxa" w:w="1728"/>
          </w:tcPr>
          <w:p>
            <w:r>
              <w:t>Building Condensate Cascade</w:t>
            </w:r>
          </w:p>
        </w:tc>
        <w:tc>
          <w:tcPr>
            <w:tcW w:type="dxa" w:w="1728"/>
          </w:tcPr>
          <w:p>
            <w:r>
              <w:t>2–8% makeup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3–12 months</w:t>
            </w:r>
          </w:p>
        </w:tc>
      </w:tr>
      <w:tr>
        <w:tc>
          <w:tcPr>
            <w:tcW w:type="dxa" w:w="1728"/>
          </w:tcPr>
          <w:p>
            <w:r>
              <w:t>M4.7</w:t>
            </w:r>
          </w:p>
        </w:tc>
        <w:tc>
          <w:tcPr>
            <w:tcW w:type="dxa" w:w="1728"/>
          </w:tcPr>
          <w:p>
            <w:r>
              <w:t>Atmospheric Water Generation</w:t>
            </w:r>
          </w:p>
        </w:tc>
        <w:tc>
          <w:tcPr>
            <w:tcW w:type="dxa" w:w="1728"/>
          </w:tcPr>
          <w:p>
            <w:r>
              <w:t>Backup only</w:t>
            </w:r>
          </w:p>
        </w:tc>
        <w:tc>
          <w:tcPr>
            <w:tcW w:type="dxa" w:w="1728"/>
          </w:tcPr>
          <w:p>
            <w:r>
              <w:t>Deployed niche</w:t>
            </w:r>
          </w:p>
        </w:tc>
        <w:tc>
          <w:tcPr>
            <w:tcW w:type="dxa" w:w="1728"/>
          </w:tcPr>
          <w:p>
            <w:r>
              <w:t>12–18 months</w:t>
            </w:r>
          </w:p>
        </w:tc>
      </w:tr>
      <w:tr>
        <w:tc>
          <w:tcPr>
            <w:tcW w:type="dxa" w:w="1728"/>
          </w:tcPr>
          <w:p>
            <w:r>
              <w:t>M4.8</w:t>
            </w:r>
          </w:p>
        </w:tc>
        <w:tc>
          <w:tcPr>
            <w:tcW w:type="dxa" w:w="1728"/>
          </w:tcPr>
          <w:p>
            <w:r>
              <w:t>Waste-Heat-Driven AWG</w:t>
            </w:r>
          </w:p>
        </w:tc>
        <w:tc>
          <w:tcPr>
            <w:tcW w:type="dxa" w:w="1728"/>
          </w:tcPr>
          <w:p>
            <w:r>
              <w:t>Better economics</w:t>
            </w:r>
          </w:p>
        </w:tc>
        <w:tc>
          <w:tcPr>
            <w:tcW w:type="dxa" w:w="1728"/>
          </w:tcPr>
          <w:p>
            <w:r>
              <w:t>Research-stage</w:t>
            </w:r>
          </w:p>
        </w:tc>
        <w:tc>
          <w:tcPr>
            <w:tcW w:type="dxa" w:w="1728"/>
          </w:tcPr>
          <w:p>
            <w:r>
              <w:t>24–48 months</w:t>
            </w:r>
          </w:p>
        </w:tc>
      </w:tr>
    </w:tbl>
    <w:p>
      <w:pPr>
        <w:pStyle w:val="Heading1"/>
      </w:pPr>
      <w:r>
        <w:t>Category 5: Monitoring, Controls &amp; Passive (M5.1–M5.5)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M5.1</w:t>
            </w:r>
          </w:p>
        </w:tc>
        <w:tc>
          <w:tcPr>
            <w:tcW w:type="dxa" w:w="1728"/>
          </w:tcPr>
          <w:p>
            <w:r>
              <w:t>IoT Leak Detection</w:t>
            </w:r>
          </w:p>
        </w:tc>
        <w:tc>
          <w:tcPr>
            <w:tcW w:type="dxa" w:w="1728"/>
          </w:tcPr>
          <w:p>
            <w:r>
              <w:t>1–5% loss reduction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6–12 months</w:t>
            </w:r>
          </w:p>
        </w:tc>
      </w:tr>
      <w:tr>
        <w:tc>
          <w:tcPr>
            <w:tcW w:type="dxa" w:w="1728"/>
          </w:tcPr>
          <w:p>
            <w:r>
              <w:t>M5.2</w:t>
            </w:r>
          </w:p>
        </w:tc>
        <w:tc>
          <w:tcPr>
            <w:tcW w:type="dxa" w:w="1728"/>
          </w:tcPr>
          <w:p>
            <w:r>
              <w:t>Smart Coolant Health Monitoring</w:t>
            </w:r>
          </w:p>
        </w:tc>
        <w:tc>
          <w:tcPr>
            <w:tcW w:type="dxa" w:w="1728"/>
          </w:tcPr>
          <w:p>
            <w:r>
              <w:t>Prevents waste flushes</w:t>
            </w:r>
          </w:p>
        </w:tc>
        <w:tc>
          <w:tcPr>
            <w:tcW w:type="dxa" w:w="1728"/>
          </w:tcPr>
          <w:p>
            <w:r>
              <w:t>Deployed</w:t>
            </w:r>
          </w:p>
        </w:tc>
        <w:tc>
          <w:tcPr>
            <w:tcW w:type="dxa" w:w="1728"/>
          </w:tcPr>
          <w:p>
            <w:r>
              <w:t>6–12 months</w:t>
            </w:r>
          </w:p>
        </w:tc>
      </w:tr>
      <w:tr>
        <w:tc>
          <w:tcPr>
            <w:tcW w:type="dxa" w:w="1728"/>
          </w:tcPr>
          <w:p>
            <w:r>
              <w:t>M5.3</w:t>
            </w:r>
          </w:p>
        </w:tc>
        <w:tc>
          <w:tcPr>
            <w:tcW w:type="dxa" w:w="1728"/>
          </w:tcPr>
          <w:p>
            <w:r>
              <w:t>Radiative Sky Cooling Panels</w:t>
            </w:r>
          </w:p>
        </w:tc>
        <w:tc>
          <w:tcPr>
            <w:tcW w:type="dxa" w:w="1728"/>
          </w:tcPr>
          <w:p>
            <w:r>
              <w:t>40–100 W/m² supplemental</w:t>
            </w:r>
          </w:p>
        </w:tc>
        <w:tc>
          <w:tcPr>
            <w:tcW w:type="dxa" w:w="1728"/>
          </w:tcPr>
          <w:p>
            <w:r>
              <w:t>Research-stage</w:t>
            </w:r>
          </w:p>
        </w:tc>
        <w:tc>
          <w:tcPr>
            <w:tcW w:type="dxa" w:w="1728"/>
          </w:tcPr>
          <w:p>
            <w:r>
              <w:t>24–48 months</w:t>
            </w:r>
          </w:p>
        </w:tc>
      </w:tr>
      <w:tr>
        <w:tc>
          <w:tcPr>
            <w:tcW w:type="dxa" w:w="1728"/>
          </w:tcPr>
          <w:p>
            <w:r>
              <w:t>M5.4</w:t>
            </w:r>
          </w:p>
        </w:tc>
        <w:tc>
          <w:tcPr>
            <w:tcW w:type="dxa" w:w="1728"/>
          </w:tcPr>
          <w:p>
            <w:r>
              <w:t>Radiative Cooling Envelope</w:t>
            </w:r>
          </w:p>
        </w:tc>
        <w:tc>
          <w:tcPr>
            <w:tcW w:type="dxa" w:w="1728"/>
          </w:tcPr>
          <w:p>
            <w:r>
              <w:t>5–15% load reduction</w:t>
            </w:r>
          </w:p>
        </w:tc>
        <w:tc>
          <w:tcPr>
            <w:tcW w:type="dxa" w:w="1728"/>
          </w:tcPr>
          <w:p>
            <w:r>
              <w:t>Research-stage</w:t>
            </w:r>
          </w:p>
        </w:tc>
        <w:tc>
          <w:tcPr>
            <w:tcW w:type="dxa" w:w="1728"/>
          </w:tcPr>
          <w:p>
            <w:r>
              <w:t>24–36 months</w:t>
            </w:r>
          </w:p>
        </w:tc>
      </w:tr>
      <w:tr>
        <w:tc>
          <w:tcPr>
            <w:tcW w:type="dxa" w:w="1728"/>
          </w:tcPr>
          <w:p>
            <w:r>
              <w:t>M5.5</w:t>
            </w:r>
          </w:p>
        </w:tc>
        <w:tc>
          <w:tcPr>
            <w:tcW w:type="dxa" w:w="1728"/>
          </w:tcPr>
          <w:p>
            <w:r>
              <w:t>Qanat Earth Precooling</w:t>
            </w:r>
          </w:p>
        </w:tc>
        <w:tc>
          <w:tcPr>
            <w:tcW w:type="dxa" w:w="1728"/>
          </w:tcPr>
          <w:p>
            <w:r>
              <w:t>15–25°C intake reduction</w:t>
            </w:r>
          </w:p>
        </w:tc>
        <w:tc>
          <w:tcPr>
            <w:tcW w:type="dxa" w:w="1728"/>
          </w:tcPr>
          <w:p>
            <w:r>
              <w:t>Research-stage</w:t>
            </w:r>
          </w:p>
        </w:tc>
        <w:tc>
          <w:tcPr>
            <w:tcW w:type="dxa" w:w="1728"/>
          </w:tcPr>
          <w:p>
            <w:r>
              <w:t>36–60 months</w:t>
            </w:r>
          </w:p>
        </w:tc>
      </w:tr>
    </w:tbl>
    <w:p>
      <w:pPr>
        <w:pStyle w:val="Heading1"/>
      </w:pPr>
      <w:r>
        <w:t>Category 6: Siting &amp; Governance (M6.1–M6.4)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TRL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M6.1</w:t>
            </w:r>
          </w:p>
        </w:tc>
        <w:tc>
          <w:tcPr>
            <w:tcW w:type="dxa" w:w="1728"/>
          </w:tcPr>
          <w:p>
            <w:r>
              <w:t>High-Altitude / Cool-Climate Siting</w:t>
            </w:r>
          </w:p>
        </w:tc>
        <w:tc>
          <w:tcPr>
            <w:tcW w:type="dxa" w:w="1728"/>
          </w:tcPr>
          <w:p>
            <w:r>
              <w:t>50–70% from climate</w:t>
            </w:r>
          </w:p>
        </w:tc>
        <w:tc>
          <w:tcPr>
            <w:tcW w:type="dxa" w:w="1728"/>
          </w:tcPr>
          <w:p>
            <w:r>
              <w:t>Deployed (policy)</w:t>
            </w:r>
          </w:p>
        </w:tc>
        <w:tc>
          <w:tcPr>
            <w:tcW w:type="dxa" w:w="1728"/>
          </w:tcPr>
          <w:p>
            <w:r>
              <w:t>Site selection</w:t>
            </w:r>
          </w:p>
        </w:tc>
      </w:tr>
      <w:tr>
        <w:tc>
          <w:tcPr>
            <w:tcW w:type="dxa" w:w="1728"/>
          </w:tcPr>
          <w:p>
            <w:r>
              <w:t>M6.2</w:t>
            </w:r>
          </w:p>
        </w:tc>
        <w:tc>
          <w:tcPr>
            <w:tcW w:type="dxa" w:w="1728"/>
          </w:tcPr>
          <w:p>
            <w:r>
              <w:t>Governance-Level Siting Policy</w:t>
            </w:r>
          </w:p>
        </w:tc>
        <w:tc>
          <w:tcPr>
            <w:tcW w:type="dxa" w:w="1728"/>
          </w:tcPr>
          <w:p>
            <w:r>
              <w:t>Prevents conflict</w:t>
            </w:r>
          </w:p>
        </w:tc>
        <w:tc>
          <w:tcPr>
            <w:tcW w:type="dxa" w:w="1728"/>
          </w:tcPr>
          <w:p>
            <w:r>
              <w:t>Deployed (China)</w:t>
            </w:r>
          </w:p>
        </w:tc>
        <w:tc>
          <w:tcPr>
            <w:tcW w:type="dxa" w:w="1728"/>
          </w:tcPr>
          <w:p>
            <w:r>
              <w:t>Policy cycle</w:t>
            </w:r>
          </w:p>
        </w:tc>
      </w:tr>
      <w:tr>
        <w:tc>
          <w:tcPr>
            <w:tcW w:type="dxa" w:w="1728"/>
          </w:tcPr>
          <w:p>
            <w:r>
              <w:t>M6.3</w:t>
            </w:r>
          </w:p>
        </w:tc>
        <w:tc>
          <w:tcPr>
            <w:tcW w:type="dxa" w:w="1728"/>
          </w:tcPr>
          <w:p>
            <w:r>
              <w:t>Municipal Reciprocity</w:t>
            </w:r>
          </w:p>
        </w:tc>
        <w:tc>
          <w:tcPr>
            <w:tcW w:type="dxa" w:w="1728"/>
          </w:tcPr>
          <w:p>
            <w:r>
              <w:t>Bidirectional closure</w:t>
            </w:r>
          </w:p>
        </w:tc>
        <w:tc>
          <w:tcPr>
            <w:tcW w:type="dxa" w:w="1728"/>
          </w:tcPr>
          <w:p>
            <w:r>
              <w:t>Deployed partial</w:t>
            </w:r>
          </w:p>
        </w:tc>
        <w:tc>
          <w:tcPr>
            <w:tcW w:type="dxa" w:w="1728"/>
          </w:tcPr>
          <w:p>
            <w:r>
              <w:t>24–36 months</w:t>
            </w:r>
          </w:p>
        </w:tc>
      </w:tr>
      <w:tr>
        <w:tc>
          <w:tcPr>
            <w:tcW w:type="dxa" w:w="1728"/>
          </w:tcPr>
          <w:p>
            <w:r>
              <w:t>M6.4</w:t>
            </w:r>
          </w:p>
        </w:tc>
        <w:tc>
          <w:tcPr>
            <w:tcW w:type="dxa" w:w="1728"/>
          </w:tcPr>
          <w:p>
            <w:r>
              <w:t>Community Water Credits</w:t>
            </w:r>
          </w:p>
        </w:tc>
        <w:tc>
          <w:tcPr>
            <w:tcW w:type="dxa" w:w="1728"/>
          </w:tcPr>
          <w:p>
            <w:r>
              <w:t>Incentive alignment</w:t>
            </w:r>
          </w:p>
        </w:tc>
        <w:tc>
          <w:tcPr>
            <w:tcW w:type="dxa" w:w="1728"/>
          </w:tcPr>
          <w:p>
            <w:r>
              <w:t>Emerging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