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captions"/>
    <w:p>
      <w:pPr>
        <w:pStyle w:val="Heading1"/>
      </w:pPr>
      <w:r>
        <w:t xml:space="preserve">Figure captions</w:t>
      </w:r>
    </w:p>
    <w:p>
      <w:pPr>
        <w:pStyle w:val="FirstParagraph"/>
      </w:pPr>
      <w:r>
        <w:t xml:space="preserve">(Each figure is submitted as a separate PNG file; captions are listed here for the manuscript.)</w:t>
      </w:r>
    </w:p>
    <w:p>
      <w:r>
        <w:pict>
          <v:rect style="width:0;height:1.5pt" o:hralign="center" o:hrstd="t" o:hr="t"/>
        </w:pict>
      </w:r>
    </w:p>
    <w:p>
      <w:pPr>
        <w:pStyle w:val="FirstParagraph"/>
      </w:pPr>
      <w:r>
        <w:rPr>
          <w:b/>
          <w:bCs/>
        </w:rPr>
        <w:t xml:space="preserve">Figure 1.</w:t>
      </w:r>
      <w:r>
        <w:t xml:space="preserve"> </w:t>
      </w:r>
      <w:r>
        <w:t xml:space="preserve">Competition volume trajectory by senior-retention status. Median competitions per year (with interquartile range as shaded band) plotted by athlete age (13–18), separately for athletes who retained active senior status (≥1 season with ≥2 results at age ≥20; n = 348) and those who did not (n = 1,775). The dashed vertical line at age 15 marks the first qualification milestone (Norwegian Youth Championships). Future dropouts show declining participation already at age 15, while future retainers maintain or increase participation through age 17.</w:t>
      </w:r>
    </w:p>
    <w:p>
      <w:pPr>
        <w:pStyle w:val="BodyText"/>
      </w:pPr>
      <w:r>
        <w:rPr>
          <w:b/>
          <w:bCs/>
        </w:rPr>
        <w:t xml:space="preserve">Figure 2.</w:t>
      </w:r>
      <w:r>
        <w:t xml:space="preserve"> </w:t>
      </w:r>
      <w:r>
        <w:t xml:space="preserve">Kaplan–Meier retention curves.</w:t>
      </w:r>
      <w:r>
        <w:t xml:space="preserve"> </w:t>
      </w:r>
      <w:r>
        <w:rPr>
          <w:b/>
          <w:bCs/>
        </w:rPr>
        <w:t xml:space="preserve">(A)</w:t>
      </w:r>
      <w:r>
        <w:t xml:space="preserve"> </w:t>
      </w:r>
      <w:r>
        <w:t xml:space="preserve">Overall retention from baseline (age 13/14) over up to 14 years of follow-up; shaded band is 95% pointwise CI.</w:t>
      </w:r>
      <w:r>
        <w:t xml:space="preserve"> </w:t>
      </w:r>
      <w:r>
        <w:rPr>
          <w:b/>
          <w:bCs/>
        </w:rPr>
        <w:t xml:space="preserve">(B)</w:t>
      </w:r>
      <w:r>
        <w:t xml:space="preserve"> </w:t>
      </w:r>
      <w:r>
        <w:t xml:space="preserve">Retention stratified by sex (solid line = male, dashed line = female). Log-rank test for sex difference: χ² = 0.95, p = 0.33.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athletes in the lowest stratum retained 4%.</w:t>
      </w:r>
    </w:p>
    <w:p>
      <w:pPr>
        <w:pStyle w:val="BodyText"/>
      </w:pPr>
      <w:r>
        <w:rPr>
          <w:b/>
          <w:bCs/>
        </w:rPr>
        <w:t xml:space="preserve">Figure 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rPr>
          <w:b/>
          <w:bCs/>
        </w:rPr>
        <w:t xml:space="preserve">Figure 5.</w:t>
      </w:r>
      <w:r>
        <w:t xml:space="preserve"> </w:t>
      </w:r>
      <w:r>
        <w:t xml:space="preserve">Random forest variable importances (top 15) for predicting active senior status. Bars show the mean decrease in impurity across 500 trees; importances sum to 1 across all 22 features. The top six predictors are all volume- or trajectory-related; performance and specialization variables appear in middle positions; sex enters near the bottom of the ranking.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2026-05-17T19:34:10Z</dcterms:created>
  <dcterms:modified xsi:type="dcterms:W3CDTF">2026-05-17T19:34:10Z</dcterms:modified>
</cp:coreProperties>
</file>

<file path=docProps/custom.xml><?xml version="1.0" encoding="utf-8"?>
<Properties xmlns="http://schemas.openxmlformats.org/officeDocument/2006/custom-properties" xmlns:vt="http://schemas.openxmlformats.org/officeDocument/2006/docPropsVTypes"/>
</file>