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(Submitted as editable text; in the final Word manuscript, each table on its own page after the references.)</w:t>
      </w:r>
    </w:p>
    <w:p>
      <w:r>
        <w:pict>
          <v:rect style="width:0;height:1.5pt" o:hralign="center" o:hrstd="t" o:hr="t"/>
        </w:pict>
      </w:r>
    </w:p>
    <w:bookmarkStart w:id="9" w:name="X3f3effad2eaa83c7207be569d73957223d2e30a"/>
    <w:p>
      <w:pPr>
        <w:pStyle w:val="Heading2"/>
      </w:pPr>
      <w:r>
        <w:t xml:space="preserve">Table 1. Cohort characteristics by birth-year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Cohort A (1998–2000)</w:t>
            </w:r>
          </w:p>
        </w:tc>
        <w:tc>
          <w:tcPr/>
          <w:p>
            <w:pPr>
              <w:pStyle w:val="Compact"/>
            </w:pPr>
            <w:r>
              <w:t xml:space="preserve">Cohort B (2001–2002)</w:t>
            </w:r>
          </w:p>
        </w:tc>
        <w:tc>
          <w:tcPr/>
          <w:p>
            <w:pPr>
              <w:pStyle w:val="Compact"/>
            </w:pPr>
            <w:r>
              <w:t xml:space="preserve">All cohorts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1,301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 (n)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(n)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1,103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unknown (n)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career length (years)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17 (%)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41.6</w:t>
            </w:r>
          </w:p>
        </w:tc>
        <w:tc>
          <w:tcPr/>
          <w:p>
            <w:pPr>
              <w:pStyle w:val="Compact"/>
            </w:pPr>
            <w:r>
              <w:t xml:space="preserve">41.3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20 (%)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active in 2024 or later (%)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Tyrving best at baseline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competitions at age 15–16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indicates ≥2 registered competition results in any calendar year at the specified age. Tyrving points = Norwegian Athletics Federation’s age-norm score where 1,000 =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for that event × sex × age combination.</w:t>
      </w:r>
    </w:p>
    <w:p>
      <w:r>
        <w:pict>
          <v:rect style="width:0;height:1.5pt" o:hralign="center" o:hrstd="t" o:hr="t"/>
        </w:pict>
      </w:r>
    </w:p>
    <w:bookmarkEnd w:id="9"/>
    <w:bookmarkStart w:id="10" w:name="X9a6c38783434298188d0179517197b4d55f1fe6"/>
    <w:p>
      <w:pPr>
        <w:pStyle w:val="Heading2"/>
      </w:pPr>
      <w:r>
        <w:t xml:space="preserve">Table 2. Competition volume trajectory by senior-retention status (median competitions per year and IQR)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Age 13</w:t>
            </w:r>
          </w:p>
        </w:tc>
        <w:tc>
          <w:tcPr/>
          <w:p>
            <w:pPr>
              <w:pStyle w:val="Compact"/>
            </w:pPr>
            <w:r>
              <w:t xml:space="preserve">Age 14</w:t>
            </w:r>
          </w:p>
        </w:tc>
        <w:tc>
          <w:tcPr/>
          <w:p>
            <w:pPr>
              <w:pStyle w:val="Compact"/>
            </w:pPr>
            <w:r>
              <w:t xml:space="preserve">Age 15</w:t>
            </w:r>
          </w:p>
        </w:tc>
        <w:tc>
          <w:tcPr/>
          <w:p>
            <w:pPr>
              <w:pStyle w:val="Compact"/>
            </w:pPr>
            <w:r>
              <w:t xml:space="preserve">Age 16</w:t>
            </w:r>
          </w:p>
        </w:tc>
        <w:tc>
          <w:tcPr/>
          <w:p>
            <w:pPr>
              <w:pStyle w:val="Compact"/>
            </w:pPr>
            <w:r>
              <w:t xml:space="preserve">Age 17</w:t>
            </w:r>
          </w:p>
        </w:tc>
        <w:tc>
          <w:tcPr/>
          <w:p>
            <w:pPr>
              <w:pStyle w:val="Compact"/>
            </w:pPr>
            <w:r>
              <w:t xml:space="preserve">Age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retainers (active age ≥20)</w:t>
            </w:r>
          </w:p>
        </w:tc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13 [6–21]</w:t>
            </w:r>
          </w:p>
        </w:tc>
        <w:tc>
          <w:tcPr/>
          <w:p>
            <w:pPr>
              <w:pStyle w:val="Compact"/>
            </w:pPr>
            <w:r>
              <w:t xml:space="preserve">17 [10–25]</w:t>
            </w:r>
          </w:p>
        </w:tc>
        <w:tc>
          <w:tcPr/>
          <w:p>
            <w:pPr>
              <w:pStyle w:val="Compact"/>
            </w:pPr>
            <w:r>
              <w:t xml:space="preserve">19 [11–27]</w:t>
            </w:r>
          </w:p>
        </w:tc>
        <w:tc>
          <w:tcPr/>
          <w:p>
            <w:pPr>
              <w:pStyle w:val="Compact"/>
            </w:pPr>
            <w:r>
              <w:t xml:space="preserve">18 [10–26]</w:t>
            </w:r>
          </w:p>
        </w:tc>
        <w:tc>
          <w:tcPr/>
          <w:p>
            <w:pPr>
              <w:pStyle w:val="Compact"/>
            </w:pPr>
            <w:r>
              <w:t xml:space="preserve">17 [10–24]</w:t>
            </w:r>
          </w:p>
        </w:tc>
        <w:tc>
          <w:tcPr/>
          <w:p>
            <w:pPr>
              <w:pStyle w:val="Compact"/>
            </w:pPr>
            <w:r>
              <w:t xml:space="preserve">14 [7–20]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Dropouts (last active age &lt;20)</w:t>
            </w:r>
          </w:p>
        </w:tc>
        <w:tc>
          <w:tcPr/>
          <w:p>
            <w:pPr>
              <w:pStyle w:val="Compact"/>
            </w:pPr>
            <w:r>
              <w:t xml:space="preserve">1,775</w:t>
            </w:r>
          </w:p>
        </w:tc>
        <w:tc>
          <w:tcPr/>
          <w:p>
            <w:pPr>
              <w:pStyle w:val="Compact"/>
            </w:pPr>
            <w:r>
              <w:t xml:space="preserve">8 [4–13]</w:t>
            </w:r>
          </w:p>
        </w:tc>
        <w:tc>
          <w:tcPr/>
          <w:p>
            <w:pPr>
              <w:pStyle w:val="Compact"/>
            </w:pPr>
            <w:r>
              <w:t xml:space="preserve">8 [3–14]</w:t>
            </w:r>
          </w:p>
        </w:tc>
        <w:tc>
          <w:tcPr/>
          <w:p>
            <w:pPr>
              <w:pStyle w:val="Compact"/>
            </w:pPr>
            <w:r>
              <w:t xml:space="preserve">3 [0–11]</w:t>
            </w:r>
          </w:p>
        </w:tc>
        <w:tc>
          <w:tcPr/>
          <w:p>
            <w:pPr>
              <w:pStyle w:val="Compact"/>
            </w:pPr>
            <w:r>
              <w:t xml:space="preserve">0 [0–7]</w:t>
            </w:r>
          </w:p>
        </w:tc>
        <w:tc>
          <w:tcPr/>
          <w:p>
            <w:pPr>
              <w:pStyle w:val="Compact"/>
            </w:pPr>
            <w:r>
              <w:t xml:space="preserve">0 [0–2]</w:t>
            </w:r>
          </w:p>
        </w:tc>
        <w:tc>
          <w:tcPr/>
          <w:p>
            <w:pPr>
              <w:pStyle w:val="Compact"/>
            </w:pPr>
            <w:r>
              <w:t xml:space="preserve">0 [0–0]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median number of meets per year [IQR]. Trajectories diverge sharply from age 15.</w:t>
      </w:r>
    </w:p>
    <w:p>
      <w:r>
        <w:pict>
          <v:rect style="width:0;height:1.5pt" o:hralign="center" o:hrstd="t" o:hr="t"/>
        </w:pict>
      </w:r>
    </w:p>
    <w:bookmarkEnd w:id="10"/>
    <w:bookmarkStart w:id="11" w:name="X7d34bfa70e5826ca52b0a5ac69fbe0293f63528"/>
    <w:p>
      <w:pPr>
        <w:pStyle w:val="Heading2"/>
      </w:pPr>
      <w:r>
        <w:t xml:space="preserve">Table 3. Stepwise Cox proportional hazards models for time to dropout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M1: Sex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[0.95, 1.14]</w:t>
            </w:r>
          </w:p>
        </w:tc>
        <w:tc>
          <w:tcPr/>
          <w:p>
            <w:pPr>
              <w:pStyle w:val="Compact"/>
            </w:pPr>
            <w:r>
              <w:t xml:space="preserve">.352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M2: + Performance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[1.00, 1.22]</w:t>
            </w:r>
          </w:p>
        </w:tc>
        <w:tc>
          <w:tcPr/>
          <w:p>
            <w:pPr>
              <w:pStyle w:val="Compact"/>
            </w:pPr>
            <w:r>
              <w:t xml:space="preserve">.052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M3: + Specialization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[1.00, 1.22]</w:t>
            </w:r>
          </w:p>
        </w:tc>
        <w:tc>
          <w:tcPr/>
          <w:p>
            <w:pPr>
              <w:pStyle w:val="Compact"/>
            </w:pPr>
            <w:r>
              <w:t xml:space="preserve">.059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[0.93, 1.03]</w:t>
            </w:r>
          </w:p>
        </w:tc>
        <w:tc>
          <w:tcPr/>
          <w:p>
            <w:pPr>
              <w:pStyle w:val="Compact"/>
            </w:pPr>
            <w:r>
              <w:t xml:space="preserve">.455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M4: + Volume at milestone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[0.98, 1.20]</w:t>
            </w:r>
          </w:p>
        </w:tc>
        <w:tc>
          <w:tcPr/>
          <w:p>
            <w:pPr>
              <w:pStyle w:val="Compact"/>
            </w:pPr>
            <w:r>
              <w:t xml:space="preserve">.109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[0.99, 1.09]</w:t>
            </w:r>
          </w:p>
        </w:tc>
        <w:tc>
          <w:tcPr/>
          <w:p>
            <w:pPr>
              <w:pStyle w:val="Compact"/>
            </w:pPr>
            <w:r>
              <w:t xml:space="preserve">.169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[0.90, 1.00]</w:t>
            </w:r>
          </w:p>
        </w:tc>
        <w:tc>
          <w:tcPr/>
          <w:p>
            <w:pPr>
              <w:pStyle w:val="Compact"/>
            </w:pPr>
            <w:r>
              <w:t xml:space="preserve">.061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M5: + Championship types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[1.02, 1.24]</w:t>
            </w:r>
          </w:p>
        </w:tc>
        <w:tc>
          <w:tcPr/>
          <w:p>
            <w:pPr>
              <w:pStyle w:val="Compact"/>
            </w:pPr>
            <w:r>
              <w:t xml:space="preserve">.025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[1.00, 1.10]</w:t>
            </w:r>
          </w:p>
        </w:tc>
        <w:tc>
          <w:tcPr/>
          <w:p>
            <w:pPr>
              <w:pStyle w:val="Compact"/>
            </w:pPr>
            <w:r>
              <w:t xml:space="preserve">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[0.90, 1.01]</w:t>
            </w:r>
          </w:p>
        </w:tc>
        <w:tc>
          <w:tcPr/>
          <w:p>
            <w:pPr>
              <w:pStyle w:val="Compact"/>
            </w:pPr>
            <w:r>
              <w:t xml:space="preserve">.080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 (count, 0–4)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HRs are per one-SD increase for standardized covariates and per unit for the count of championship types. The volume-at-milestone covariate produces the largest single-step C-index gain (0.573 → 0.846).</w:t>
      </w:r>
    </w:p>
    <w:p>
      <w:r>
        <w:pict>
          <v:rect style="width:0;height:1.5pt" o:hralign="center" o:hrstd="t" o:hr="t"/>
        </w:pict>
      </w:r>
    </w:p>
    <w:bookmarkEnd w:id="11"/>
    <w:bookmarkStart w:id="12" w:name="X1822f1116ce8db499c56baf1e4eea4396818994"/>
    <w:p>
      <w:pPr>
        <w:pStyle w:val="Heading2"/>
      </w:pPr>
      <w:r>
        <w:t xml:space="preserve">Table 4. Random forest variable importance (top 15) for senior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Volume at age 16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Composite volume at milestone (ages 15–16)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Volume at age 15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Tyrving performance slope (ages 13–16)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Volume trend across milestone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Peak Tyrving before age 15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HHI change (age 13–14 to 15–16)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Mean meets per year early career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Tyrving best at baseline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HHI early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Volume pre-milestone (ages 13–14)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Year-round participation sum (ages 13–16)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Volume at age 14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Number of championship types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HHI at age 15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Importances sum to 1.0 across all 22 features. Volume-based features dominate the top six positions.</w:t>
      </w:r>
    </w:p>
    <w:p>
      <w:r>
        <w:pict>
          <v:rect style="width:0;height:1.5pt" o:hralign="center" o:hrstd="t" o:hr="t"/>
        </w:pict>
      </w:r>
    </w:p>
    <w:bookmarkEnd w:id="12"/>
    <w:bookmarkStart w:id="13" w:name="X35104862b3eb9af860ae8c086ddf0d06f951a25"/>
    <w:p>
      <w:pPr>
        <w:pStyle w:val="Heading2"/>
      </w:pPr>
      <w:r>
        <w:t xml:space="preserve">Table 5. Cross-validated AUC for nested predictor subsets predicting senior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AUC (logistic)</w:t>
            </w:r>
          </w:p>
        </w:tc>
        <w:tc>
          <w:tcPr/>
          <w:p>
            <w:pPr>
              <w:pStyle w:val="Compact"/>
            </w:pPr>
            <w:r>
              <w:t xml:space="preserve">AUC (random forest)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only (sex + Tyrving best)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0.59 (±0.04)</w:t>
            </w:r>
          </w:p>
        </w:tc>
        <w:tc>
          <w:tcPr/>
          <w:p>
            <w:pPr>
              <w:pStyle w:val="Compact"/>
            </w:pPr>
            <w:r>
              <w:t xml:space="preserve">0.58 (±0.02)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Specialization only (sex + HHI + n categories)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0.60 (±0.06)</w:t>
            </w:r>
          </w:p>
        </w:tc>
        <w:tc>
          <w:tcPr/>
          <w:p>
            <w:pPr>
              <w:pStyle w:val="Compact"/>
            </w:pPr>
            <w:r>
              <w:t xml:space="preserve">0.57 (±0.05)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only (sex + meets ages 13–16)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</w:t>
            </w:r>
            <w:r>
              <w:t xml:space="preserve"> </w:t>
            </w:r>
            <w:r>
              <w:t xml:space="preserve">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+ specialization (pre-baseline behavioral)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 (all 22 predictors)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0.81 (±0.03)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AUC is mean ± SD across 5-fold stratified cross-validation. Behavioral volume indicators (Volume-only) achieve performance close to the full predictor set.</w:t>
      </w:r>
    </w:p>
    <w:p>
      <w:r>
        <w:pict>
          <v:rect style="width:0;height:1.5pt" o:hralign="center" o:hrstd="t" o:hr="t"/>
        </w:pict>
      </w:r>
    </w:p>
    <w:bookmarkEnd w:id="13"/>
    <w:bookmarkStart w:id="14" w:name="X3aebc5ff8155d5ab6eacc7300c12bff7cc0e059"/>
    <w:p>
      <w:pPr>
        <w:pStyle w:val="Heading2"/>
      </w:pPr>
      <w:r>
        <w:t xml:space="preserve">Table 6. Cross-cohort replication: full Cox model fit separately in each birth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[1.05, 1.35]</w:t>
            </w:r>
          </w:p>
        </w:tc>
        <w:tc>
          <w:tcPr/>
          <w:p>
            <w:pPr>
              <w:pStyle w:val="Compact"/>
            </w:pPr>
            <w:r>
              <w:t xml:space="preserve">.006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1.10]</w:t>
            </w:r>
          </w:p>
        </w:tc>
        <w:tc>
          <w:tcPr/>
          <w:p>
            <w:pPr>
              <w:pStyle w:val="Compact"/>
            </w:pPr>
            <w:r>
              <w:t xml:space="preserve">.275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[0.94, 1.07]</w:t>
            </w:r>
          </w:p>
        </w:tc>
        <w:tc>
          <w:tcPr/>
          <w:p>
            <w:pPr>
              <w:pStyle w:val="Compact"/>
            </w:pPr>
            <w:r>
              <w:t xml:space="preserve">.966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[0.44, 0.55]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[0.65, 0.78]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[0.86, 1.21]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[1.00, 1.19]</w:t>
            </w:r>
          </w:p>
        </w:tc>
        <w:tc>
          <w:tcPr/>
          <w:p>
            <w:pPr>
              <w:pStyle w:val="Compact"/>
            </w:pPr>
            <w:r>
              <w:t xml:space="preserve">.047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[0.80, 0.96]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[0.31, 0.43]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[0.68,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volume-at-milestone effect replicates in both cohorts at similar magnitude and direction; HHI early (specialization) is significant in Cohort B but not Cohort A; the sex effect is significant in Cohort A but not Cohort B.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2026-05-17T19:34:10Z</dcterms:created>
  <dcterms:modified xsi:type="dcterms:W3CDTF">2026-05-17T19:34:10Z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