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vedlegg-f-spørsmål-til-nfif"/>
    <w:p>
      <w:pPr>
        <w:pStyle w:val="Heading1"/>
      </w:pPr>
      <w:r>
        <w:t xml:space="preserve">Vedlegg F: Spørsmål til NFIF</w:t>
      </w:r>
    </w:p>
    <w:p>
      <w:pPr>
        <w:pStyle w:val="FirstParagraph"/>
      </w:pPr>
      <w:r>
        <w:rPr>
          <w:b/>
          <w:bCs/>
        </w:rPr>
        <w:t xml:space="preserve">Fra:</w:t>
      </w:r>
      <w:r>
        <w:t xml:space="preserve"> </w:t>
      </w:r>
      <w:r>
        <w:t xml:space="preserve">Athlete Mindset AS</w:t>
      </w:r>
      <w:r>
        <w:t xml:space="preserve"> </w:t>
      </w:r>
      <w:r>
        <w:rPr>
          <w:b/>
          <w:bCs/>
        </w:rPr>
        <w:t xml:space="preserve">Til:</w:t>
      </w:r>
      <w:r>
        <w:t xml:space="preserve"> </w:t>
      </w:r>
      <w:r>
        <w:t xml:space="preserve">Norges Friidrettsforbund</w:t>
      </w:r>
      <w:r>
        <w:t xml:space="preserve"> </w:t>
      </w:r>
      <w:r>
        <w:rPr>
          <w:b/>
          <w:bCs/>
        </w:rPr>
        <w:t xml:space="preserve">Dato:</w:t>
      </w:r>
      <w:r>
        <w:t xml:space="preserve"> </w:t>
      </w:r>
      <w:r>
        <w:t xml:space="preserve">31.08.2026</w:t>
      </w:r>
    </w:p>
    <w:p>
      <w:pPr>
        <w:pStyle w:val="BodyText"/>
      </w:pPr>
      <w:r>
        <w:t xml:space="preserve">Under følger de punktene vi trenger avklart for å ferdigstille leveransen. De</w:t>
      </w:r>
      <w:r>
        <w:t xml:space="preserve"> </w:t>
      </w:r>
      <w:r>
        <w:t xml:space="preserve">fleste er forutsetninger vi allerede har lagt til grunn i tilbudet, og som vi</w:t>
      </w:r>
      <w:r>
        <w:t xml:space="preserve"> </w:t>
      </w:r>
      <w:r>
        <w:t xml:space="preserve">ber om å få bekreftet. To av dem gjelder forhold kravspesifikasjonen selv lar</w:t>
      </w:r>
      <w:r>
        <w:t xml:space="preserve"> </w:t>
      </w:r>
      <w:r>
        <w:t xml:space="preserve">stå åpne.</w:t>
      </w:r>
    </w:p>
    <w:p>
      <w:pPr>
        <w:pStyle w:val="BodyText"/>
      </w:pPr>
      <w:r>
        <w:t xml:space="preserve">Vi stiller dem samlet fremfor å ta forbehold i teksten, fordi de fleste er</w:t>
      </w:r>
      <w:r>
        <w:t xml:space="preserve"> </w:t>
      </w:r>
      <w:r>
        <w:t xml:space="preserve">enkle å svare på og fordi svarene påvirker hvordan løsningen bygges.</w:t>
      </w:r>
    </w:p>
    <w:p>
      <w:r>
        <w:pict>
          <v:rect style="width:0;height:1.5pt" o:hralign="center" o:hrstd="t" o:hr="t"/>
        </w:pict>
      </w:r>
    </w:p>
    <w:bookmarkStart w:id="9" w:name="datakilder-vi-forutsetter-tilgang-til"/>
    <w:p>
      <w:pPr>
        <w:pStyle w:val="Heading2"/>
      </w:pPr>
      <w:r>
        <w:t xml:space="preserve">Datakilder vi forutsetter tilgang til</w:t>
      </w:r>
    </w:p>
    <w:p>
      <w:pPr>
        <w:pStyle w:val="FirstParagraph"/>
      </w:pPr>
      <w:r>
        <w:rPr>
          <w:b/>
          <w:bCs/>
        </w:rPr>
        <w:t xml:space="preserve">1. Terminlisten, løpende.</w:t>
      </w:r>
      <w:r>
        <w:t xml:space="preserve"> </w:t>
      </w:r>
      <w:r>
        <w:t xml:space="preserve">Vi forutsetter at plattformen får løpende tilgang til den offisielle</w:t>
      </w:r>
      <w:r>
        <w:t xml:space="preserve"> </w:t>
      </w:r>
      <w:r>
        <w:t xml:space="preserve">terminlisten. Den bærer to funksjoner i løsningen: den avgjør om et stevne er</w:t>
      </w:r>
      <w:r>
        <w:t xml:space="preserve"> </w:t>
      </w:r>
      <w:r>
        <w:t xml:space="preserve">godkjent, og dermed kvalitetsnivå etter §6, og den avgrenser hvilke gateløp som</w:t>
      </w:r>
      <w:r>
        <w:t xml:space="preserve"> </w:t>
      </w:r>
      <w:r>
        <w:t xml:space="preserve">hører hjemme i basen etter §8. Uten den faller den maskinelle klassifiseringen</w:t>
      </w:r>
      <w:r>
        <w:t xml:space="preserve"> </w:t>
      </w:r>
      <w:r>
        <w:t xml:space="preserve">tilbake til manuelt arbeid.</w:t>
      </w:r>
      <w:r>
        <w:t xml:space="preserve"> </w:t>
      </w:r>
      <w:r>
        <w:rPr>
          <w:i/>
          <w:iCs/>
        </w:rPr>
        <w:t xml:space="preserve">Tilbudets kapittel 3.5 og 5.1.</w:t>
      </w:r>
    </w:p>
    <w:p>
      <w:pPr>
        <w:pStyle w:val="BodyText"/>
      </w:pPr>
      <w:r>
        <w:rPr>
          <w:b/>
          <w:bCs/>
        </w:rPr>
        <w:t xml:space="preserve">2. Lisensregisteret.</w:t>
      </w:r>
      <w:r>
        <w:t xml:space="preserve"> </w:t>
      </w:r>
      <w:r>
        <w:t xml:space="preserve">Tilsvarende: nødvendig for å avgjøre lisenskriteriet i kvalitetsnivå A, og for å</w:t>
      </w:r>
      <w:r>
        <w:t xml:space="preserve"> </w:t>
      </w:r>
      <w:r>
        <w:t xml:space="preserve">avgrense hvilke utøvere som skal følges for resultater i utlandet.</w:t>
      </w:r>
      <w:r>
        <w:t xml:space="preserve"> </w:t>
      </w:r>
      <w:r>
        <w:rPr>
          <w:i/>
          <w:iCs/>
        </w:rPr>
        <w:t xml:space="preserve">Kapittel 3.5 og 3.6.</w:t>
      </w:r>
    </w:p>
    <w:p>
      <w:pPr>
        <w:pStyle w:val="BodyText"/>
      </w:pPr>
      <w:r>
        <w:rPr>
          <w:b/>
          <w:bCs/>
        </w:rPr>
        <w:t xml:space="preserve">3. Klubb-til-krets-mapping.</w:t>
      </w:r>
      <w:r>
        <w:t xml:space="preserve"> </w:t>
      </w:r>
      <w:r>
        <w:t xml:space="preserve">Kretstilhørighet kan ikke utledes trygt fra klubbnavn. Regionsstatistikk er et</w:t>
      </w:r>
      <w:r>
        <w:t xml:space="preserve"> </w:t>
      </w:r>
      <w:r>
        <w:t xml:space="preserve">obligatorisk krav (§10 og §22), og dette er den kritiske avhengigheten i</w:t>
      </w:r>
      <w:r>
        <w:t xml:space="preserve"> </w:t>
      </w:r>
      <w:r>
        <w:t xml:space="preserve">tidsplanen. Finnes en slik oversikt, og når kan vi få den?</w:t>
      </w:r>
      <w:r>
        <w:t xml:space="preserve"> </w:t>
      </w:r>
      <w:r>
        <w:rPr>
          <w:i/>
          <w:iCs/>
        </w:rPr>
        <w:t xml:space="preserve">Kapittel 8.1.</w:t>
      </w:r>
    </w:p>
    <w:p>
      <w:r>
        <w:pict>
          <v:rect style="width:0;height:1.5pt" o:hralign="center" o:hrstd="t" o:hr="t"/>
        </w:pict>
      </w:r>
    </w:p>
    <w:bookmarkEnd w:id="9"/>
    <w:bookmarkStart w:id="10" w:name="arbeidsflyt"/>
    <w:p>
      <w:pPr>
        <w:pStyle w:val="Heading2"/>
      </w:pPr>
      <w:r>
        <w:t xml:space="preserve">Arbeidsflyt</w:t>
      </w:r>
    </w:p>
    <w:p>
      <w:pPr>
        <w:pStyle w:val="FirstParagraph"/>
      </w:pPr>
      <w:r>
        <w:rPr>
          <w:b/>
          <w:bCs/>
        </w:rPr>
        <w:t xml:space="preserve">4. Hvordan meldes underkjenning?</w:t>
      </w:r>
      <w:r>
        <w:t xml:space="preserve"> </w:t>
      </w:r>
      <w:r>
        <w:t xml:space="preserve">Et stevne på terminlisten er godkjent inntil det eventuelt underkjennes i</w:t>
      </w:r>
      <w:r>
        <w:t xml:space="preserve"> </w:t>
      </w:r>
      <w:r>
        <w:t xml:space="preserve">etterkant. Underkjenning er dermed det eneste som må inn utenfra for at</w:t>
      </w:r>
      <w:r>
        <w:t xml:space="preserve"> </w:t>
      </w:r>
      <w:r>
        <w:t xml:space="preserve">kvalitetsnivåene skal holde seg riktige. Hvilken kanal skal brukes, og hvem har</w:t>
      </w:r>
      <w:r>
        <w:t xml:space="preserve"> </w:t>
      </w:r>
      <w:r>
        <w:t xml:space="preserve">myndighet til å melde?</w:t>
      </w:r>
      <w:r>
        <w:t xml:space="preserve"> </w:t>
      </w:r>
      <w:r>
        <w:rPr>
          <w:i/>
          <w:iCs/>
        </w:rPr>
        <w:t xml:space="preserve">Kapittel 3.5.</w:t>
      </w:r>
    </w:p>
    <w:p>
      <w:pPr>
        <w:pStyle w:val="BodyText"/>
      </w:pPr>
      <w:r>
        <w:rPr>
          <w:b/>
          <w:bCs/>
        </w:rPr>
        <w:t xml:space="preserve">5. Kodeverk for ikke-ratifiserte resultater.</w:t>
      </w:r>
      <w:r>
        <w:t xml:space="preserve"> </w:t>
      </w:r>
      <w:r>
        <w:t xml:space="preserve">§7 krever at ikke-ratifiserte prestasjoner flagges «including codes (TBD) to</w:t>
      </w:r>
      <w:r>
        <w:t xml:space="preserve"> </w:t>
      </w:r>
      <w:r>
        <w:t xml:space="preserve">note the reason for non-ratification». Kodeverket er ikke fastsatt i</w:t>
      </w:r>
      <w:r>
        <w:t xml:space="preserve"> </w:t>
      </w:r>
      <w:r>
        <w:t xml:space="preserve">kravspesifikasjonen. Vi bygger flagget uansett, men det må fylles med NFIFs</w:t>
      </w:r>
      <w:r>
        <w:t xml:space="preserve"> </w:t>
      </w:r>
      <w:r>
        <w:t xml:space="preserve">egne koder. Foreligger et forslag, eller skal vi utarbeide et til gjennomsyn?</w:t>
      </w:r>
      <w:r>
        <w:t xml:space="preserve"> </w:t>
      </w:r>
      <w:r>
        <w:rPr>
          <w:i/>
          <w:iCs/>
        </w:rPr>
        <w:t xml:space="preserve">Kapittel 3.5.</w:t>
      </w:r>
    </w:p>
    <w:p>
      <w:pPr>
        <w:pStyle w:val="BodyText"/>
      </w:pPr>
      <w:r>
        <w:rPr>
          <w:b/>
          <w:bCs/>
        </w:rPr>
        <w:t xml:space="preserve">6. Kontaktpunkt mot arrangører og tidtakere.</w:t>
      </w:r>
      <w:r>
        <w:t xml:space="preserve"> </w:t>
      </w:r>
      <w:r>
        <w:t xml:space="preserve">Plattformen skal selv hente inn resultatlistene fra 01.01.2027, og</w:t>
      </w:r>
      <w:r>
        <w:t xml:space="preserve"> </w:t>
      </w:r>
      <w:r>
        <w:t xml:space="preserve">omleggingen skjer i oktober 2026. Vi trenger et kontaktpunkt hos NFIF for å nå</w:t>
      </w:r>
      <w:r>
        <w:t xml:space="preserve"> </w:t>
      </w:r>
      <w:r>
        <w:t xml:space="preserve">arrangører og tidtakerselskaper i den prosessen, helst allerede i september.</w:t>
      </w:r>
      <w:r>
        <w:t xml:space="preserve"> </w:t>
      </w:r>
      <w:r>
        <w:rPr>
          <w:i/>
          <w:iCs/>
        </w:rPr>
        <w:t xml:space="preserve">Kapittel 3.6 og 8.1.</w:t>
      </w:r>
    </w:p>
    <w:p>
      <w:r>
        <w:pict>
          <v:rect style="width:0;height:1.5pt" o:hralign="center" o:hrstd="t" o:hr="t"/>
        </w:pict>
      </w:r>
    </w:p>
    <w:bookmarkEnd w:id="10"/>
    <w:bookmarkStart w:id="11" w:name="formelt"/>
    <w:p>
      <w:pPr>
        <w:pStyle w:val="Heading2"/>
      </w:pPr>
      <w:r>
        <w:t xml:space="preserve">Formelt</w:t>
      </w:r>
    </w:p>
    <w:p>
      <w:pPr>
        <w:pStyle w:val="FirstParagraph"/>
      </w:pPr>
      <w:r>
        <w:rPr>
          <w:b/>
          <w:bCs/>
        </w:rPr>
        <w:t xml:space="preserve">7. Er anskaffelsen privatrettslig?</w:t>
      </w:r>
      <w:r>
        <w:t xml:space="preserve"> </w:t>
      </w:r>
      <w:r>
        <w:t xml:space="preserve">Vi legger til grunn at anskaffelsen ikke er omfattet av regelverket for</w:t>
      </w:r>
      <w:r>
        <w:t xml:space="preserve"> </w:t>
      </w:r>
      <w:r>
        <w:t xml:space="preserve">offentlige anskaffelser. Det avgjør blant annet om vi kan be om et møte og vise</w:t>
      </w:r>
      <w:r>
        <w:t xml:space="preserve"> </w:t>
      </w:r>
      <w:r>
        <w:t xml:space="preserve">løsningen før beslutningen tas, noe vi gjerne gjør.</w:t>
      </w:r>
    </w:p>
    <w:p>
      <w:r>
        <w:pict>
          <v:rect style="width:0;height:1.5pt" o:hralign="center" o:hrstd="t" o:hr="t"/>
        </w:pict>
      </w:r>
    </w:p>
    <w:bookmarkEnd w:id="11"/>
    <w:bookmarkStart w:id="12" w:name="vi-kommer-gjerne-og-går-gjennom-dette"/>
    <w:p>
      <w:pPr>
        <w:pStyle w:val="Heading2"/>
      </w:pPr>
      <w:r>
        <w:t xml:space="preserve">Vi kommer gjerne og går gjennom dette</w:t>
      </w:r>
    </w:p>
    <w:p>
      <w:pPr>
        <w:pStyle w:val="FirstParagraph"/>
      </w:pPr>
      <w:r>
        <w:t xml:space="preserve">Flere av punktene lar seg avklare på en halvtime. Vi stiller gjerne på</w:t>
      </w:r>
      <w:r>
        <w:t xml:space="preserve"> </w:t>
      </w:r>
      <w:r>
        <w:t xml:space="preserve">Ullevaal, eller digitalt, og tar samtidig med en demonstrasjon av løsningen slik</w:t>
      </w:r>
      <w:r>
        <w:t xml:space="preserve"> </w:t>
      </w:r>
      <w:r>
        <w:t xml:space="preserve">den står i dag.</w:t>
      </w:r>
    </w:p>
    <w:p>
      <w:pPr>
        <w:pStyle w:val="BodyText"/>
      </w:pPr>
      <w:r>
        <w:rPr>
          <w:b/>
          <w:bCs/>
        </w:rPr>
        <w:t xml:space="preserve">Kontakt:</w:t>
      </w:r>
      <w:r>
        <w:t xml:space="preserve"> </w:t>
      </w:r>
      <w:r>
        <w:rPr>
          <w:rStyle w:val="VerbatimChar"/>
        </w:rPr>
        <w:t xml:space="preserve">‹navn, e-post, telefon›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lang w:bidi="ar-SA" w:eastAsia="nb-NO" w:val="nb-N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1B3A6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1B3A6B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1B3A6B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1B3A6B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1B3A6B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1B3A6B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1B3A6B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1B3A6B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1B3A6B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nb-NO</dc:language>
  <cp:keywords/>
  <dcterms:created xsi:type="dcterms:W3CDTF">2026-08-31T20:02:23Z</dcterms:created>
  <dcterms:modified xsi:type="dcterms:W3CDTF">2026-08-31T20:02:23Z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