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Pulling back before dropout: Behavioral disengagement precedes youth-sport exit by years in a 14-year register study</w:t>
      </w:r>
    </w:p>
    <w:p>
      <w:pPr>
        <w:pStyle w:val="BodyText"/>
      </w:pPr>
      <w:r>
        <w:rPr>
          <w:b/>
          <w:bCs/>
        </w:rPr>
        <w:t xml:space="preserve">Keywords:</w:t>
      </w:r>
      <w:r>
        <w:t xml:space="preserve"> </w:t>
      </w:r>
      <w:r>
        <w:t xml:space="preserve">youth sport; dropout; athlete retention; longitudinal; track and field; behavioral indicators; sport commitment</w:t>
      </w:r>
    </w:p>
    <w:p>
      <w:r>
        <w:pict>
          <v:rect style="width:0;height:1.5pt" o:hralign="center" o:hrstd="t" o:hr="t"/>
        </w:pict>
      </w:r>
    </w:p>
    <w:bookmarkStart w:id="9" w:name="abstract"/>
    <w:p>
      <w:pPr>
        <w:pStyle w:val="Heading2"/>
      </w:pPr>
      <w:r>
        <w:t xml:space="preserve">Abstract</w:t>
      </w:r>
    </w:p>
    <w:p>
      <w:pPr>
        <w:pStyle w:val="FirstParagraph"/>
      </w:pPr>
      <w:r>
        <w:rPr>
          <w:b/>
          <w:bCs/>
        </w:rPr>
        <w:t xml:space="preserve">Objectives.</w:t>
      </w:r>
      <w:r>
        <w:t xml:space="preserve"> </w:t>
      </w:r>
      <w:r>
        <w:t xml:space="preserve">Future dropouts from youth sport pull back from competition years before formal exit, but the longitudinal behavioral signature has been hard to observe directly. We use Norway’s competition register to test whether baseline-window behavior prospectively predicts senior retention.</w:t>
      </w:r>
    </w:p>
    <w:p>
      <w:pPr>
        <w:pStyle w:val="BodyText"/>
      </w:pPr>
      <w:r>
        <w:rPr>
          <w:b/>
          <w:bCs/>
        </w:rPr>
        <w:t xml:space="preserve">Method.</w:t>
      </w:r>
      <w:r>
        <w:t xml:space="preserve"> </w:t>
      </w:r>
      <w:r>
        <w:t xml:space="preserve">We followed 2,123 athletes who competed as 13–14-year-olds in a regional youth track-and-field meet (births 1998–2002), recording annual competition counts, event diversification, championships, and age-norm performance through 2025 (up to 14-year follow-up). The primary analysis was a logistic regression for active senior status (≥2 results at age 20+) using only ages-13–14 predictors. Sensitivity analyses included structural controls, a level-vs-change decomposition, and Cox time-to-cessation.</w:t>
      </w:r>
    </w:p>
    <w:p>
      <w:pPr>
        <w:pStyle w:val="BodyText"/>
      </w:pPr>
      <w:r>
        <w:rPr>
          <w:b/>
          <w:bCs/>
        </w:rPr>
        <w:t xml:space="preserve">Results.</w:t>
      </w:r>
      <w:r>
        <w:t xml:space="preserve"> </w:t>
      </w:r>
      <w:r>
        <w:t xml:space="preserve">Two complementary patterns predicted retention. Baseline-window competition volume (ages 13–14) gave the largest incremental contribution to discrimination (OR = 2.40 per SD, 95% CI [2.07, 2.78]; CV-AUC = 0.751), unchanged by structural controls. Both age-14 level (OR = 2.79) and within-athlete pull-back across ages 14–15 (OR = 2.44) contributed independently — pseudo-</w:t>
      </w:r>
      <w:r>
        <w:rPr>
          <w:i/>
          <w:iCs/>
        </w:rPr>
        <w:t xml:space="preserve">R</w:t>
      </w:r>
      <w:r>
        <w:t xml:space="preserve">² doubled with change. Effects replicated across cohorts (E-value = 5.16). Higher baseline specialization predicted higher retention, contrasting with the diversification literature for peak performance.</w:t>
      </w:r>
    </w:p>
    <w:p>
      <w:pPr>
        <w:pStyle w:val="BodyText"/>
      </w:pPr>
      <w:r>
        <w:rPr>
          <w:b/>
          <w:bCs/>
        </w:rPr>
        <w:t xml:space="preserve">Conclusions.</w:t>
      </w:r>
      <w:r>
        <w:t xml:space="preserve"> </w:t>
      </w:r>
      <w:r>
        <w:t xml:space="preserve">Register-based behavior at the end of the age-14 season prospectively flags athletes at high dropout risk (PPV ≈ 0.94), enabling earlier identification than formal exit.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2026-05-23T20:45:03Z</dcterms:created>
  <dcterms:modified xsi:type="dcterms:W3CDTF">2026-05-23T20:45:03Z</dcterms:modified>
</cp:coreProperties>
</file>

<file path=docProps/custom.xml><?xml version="1.0" encoding="utf-8"?>
<Properties xmlns="http://schemas.openxmlformats.org/officeDocument/2006/custom-properties" xmlns:vt="http://schemas.openxmlformats.org/officeDocument/2006/docPropsVTypes"/>
</file>