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highlights"/>
    <w:p>
      <w:pPr>
        <w:pStyle w:val="Heading1"/>
      </w:pPr>
      <w:r>
        <w:t xml:space="preserve">Highlights</w:t>
      </w:r>
    </w:p>
    <w:p>
      <w:pPr>
        <w:pStyle w:val="FirstParagraph"/>
      </w:pPr>
      <w:r>
        <w:t xml:space="preserve">(PSE requires 3-5 bullet points, each ≤85 characters incl. spaces)</w:t>
      </w:r>
    </w:p>
    <w:p>
      <w:pPr>
        <w:numPr>
          <w:ilvl w:val="0"/>
          <w:numId w:val="1001"/>
        </w:numPr>
      </w:pPr>
      <w:r>
        <w:t xml:space="preserve">Baseline-window volume at ages 13-14 predicts senior retention 14 years later.</w:t>
      </w:r>
    </w:p>
    <w:p>
      <w:pPr>
        <w:numPr>
          <w:ilvl w:val="0"/>
          <w:numId w:val="1001"/>
        </w:numPr>
      </w:pPr>
      <w:r>
        <w:t xml:space="preserve">OR = 2.40 per SD, cross-validated AUC = 0.751 from baseline-only predictors.</w:t>
      </w:r>
    </w:p>
    <w:p>
      <w:pPr>
        <w:numPr>
          <w:ilvl w:val="0"/>
          <w:numId w:val="1001"/>
        </w:numPr>
      </w:pPr>
      <w:r>
        <w:t xml:space="preserve">Two patterns: early heterogeneity AND within-athlete pull-back act independently.</w:t>
      </w:r>
    </w:p>
    <w:p>
      <w:pPr>
        <w:numPr>
          <w:ilvl w:val="0"/>
          <w:numId w:val="1001"/>
        </w:numPr>
      </w:pPr>
      <w:r>
        <w:t xml:space="preserve">Behavior outperforms performance; replicates across two birth-year cohorts.</w:t>
      </w:r>
    </w:p>
    <w:p>
      <w:pPr>
        <w:numPr>
          <w:ilvl w:val="0"/>
          <w:numId w:val="1001"/>
        </w:numPr>
      </w:pPr>
      <w:r>
        <w:t xml:space="preserve">Behavioral screening at age 14 flags at-risk athletes (PPV = 0.94).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2026-05-23T20:39:28Z</dcterms:created>
  <dcterms:modified xsi:type="dcterms:W3CDTF">2026-05-23T20:39:28Z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