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robust to structural controls and club random effects, and replicated across two adjacent birth cohorts. Exit-aligned trajectories showed that withdrawal was gradual for most athletes: median volume fell 12 → 10 → 9 → 4 meets across dropouts’ last four seasons, 74% of those leaving at 16 or later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a construct distinct from multisport diversification. A register-based flag at the end of the age-14 season (&lt; 10 meets) identifies the 26% of athletes whose senior retention is 6%, versus 20% among the unflagged (PPV = 0.94 against an 84% base rate; sensitivity 0.30):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(intense love of the game or career pursuits),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that we test separately: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not a direct measure of motivation,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occasional invitational regional-team matches for 14–15-year-olds,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which licenses interpreting ages-13–14 volume as a behavioral indicator of engagement;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regardless of club transfers (27.8% recorded results for two or more clubs), so changing club does not register as dropout.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rPr>
          <w:vertAlign w:val="superscript"/>
        </w:rPr>
        <w:t xml:space="preserve">28</w:t>
      </w:r>
      <w:r>
        <w:t xml:space="preserve"> </w:t>
      </w:r>
      <w:r>
        <w:t xml:space="preserve">with a baseline-only primary specification (Supplementary Table S16), a landmark analysis among athletes active at age 16 (van Houwelingen, 2007; Supplementary Table S8), and a post-baseline specification interpreted with overlap caveats (Table 5).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Supplementary Table S4) shows the design could detect hazard ratios ≥1.07 and odds ratios ≥1.20 per SD, well below effect sizes typical of prior dropout research.</w:t>
      </w:r>
      <w:r>
        <w:rPr>
          <w:vertAlign w:val="superscript"/>
        </w:rPr>
        <w:t xml:space="preserve">23</w:t>
      </w:r>
      <w:r>
        <w:t xml:space="preserve"> </w:t>
      </w:r>
      <w:r>
        <w:t xml:space="preserve">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(medians of 13 vs. 8 meets at age 13, and 17 vs. 8 at age 14),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(medians in Table 2): half the cohort ceased active competition within 3 years, 75% within 5, steepest at age 17,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71% senior retention with ≥31 meets vs. 4% with none (Figure 3),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volume variance lies between clubs (ICC = 0.25, 277 clubs), but with club random intercepts the coefficient was, if anything, larger (OR = 2.58, 95% CI [2.27, 2.93]; Supplementary Table S22): the association holds within clubs.</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a within-athlete taper rather than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6.5%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with behavior and performance both measured at ages 13–14 to remove any temporal advantage,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16.3% vs. 10.0% in the lowest-performing quartile, then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(diagnostics and descriptive companions: Supplementary Tables S1, S6, S10, S17; Supplementary Figures S1, S4). The baseline-start Cox model with post-baseline covariates is not a primary estimate (predictor and at-risk window overlap); its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a 3.5-fold difference in retention prospects (PPV = 0.94, sensitivity = 0.30). Lower thresholds (&lt; 5; 9.3% flagged) suit targeted outreach, higher (&lt; 15; 43.1%) broaden the screen. Two properties discipline use: PPV partly reflects the 84% base rate (~10-point precision gain), and NPV = 0.20 means unflagged athletes are</w:t>
      </w:r>
      <w:r>
        <w:t xml:space="preserve"> </w:t>
      </w:r>
      <w:r>
        <w:rPr>
          <w:i/>
          <w:iCs/>
        </w:rPr>
        <w:t xml:space="preserve">not</w:t>
      </w:r>
      <w:r>
        <w:t xml:space="preserve"> </w:t>
      </w:r>
      <w:r>
        <w:t xml:space="preserve">“safe”</w:t>
      </w:r>
      <w:r>
        <w:t xml:space="preserve">: four in five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1/(result count),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2.29, 2.40, 2.26 across the three definitions; Supplementary Table S9), to the fixed-window outcome (ages 20–22: OR = 2.43; Supplementary Table S24), to multiple imputation (OR = 2.34, 95% CI [2.07, 2.66];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stronger than any measured covariate,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this is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(licensed by the open-entry structure of Section 2.2),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(clubs pay entry fees, travel is short)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w:t>
      </w:r>
      <w:r>
        <w:t xml:space="preserve">and an injured 14-year-old produces the same register signature as a disengaging one, so part of the pull-back is plausibly enforced rather than chosen.</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275310f308a547ead5220928057c68be59c7379"/>
    <w:p>
      <w:pPr>
        <w:pStyle w:val="Heading2"/>
      </w:pPr>
      <w:r>
        <w:t xml:space="preserve">4.3 Pull-back is real at the individual level, and so is early heterogeneity</w:t>
      </w:r>
    </w:p>
    <w:p>
      <w:pPr>
        <w:pStyle w:val="FirstParagraph"/>
      </w:pPr>
      <w:r>
        <w:t xml:space="preserve">Is the divergence in Figure 2 genuine within-athlete pull-back, or early differentiation only, or an artifact of averaging abrupt exits at heterogeneous ages? The exit-aligned analyses answer at the individual level: 95% of dropouts were still competing in their penultimate season, 74% had a reduced-but-nonzero penultimate season, and only 19% exited directly from peak volume. The typical exit is a two-to-three-season taper, not a cliff. Both components are nonetheless real: level and change carried independent information (Table 4), the pattern held in the contamination-free window (level OR = 3.04; change OR = 1.88),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t xml:space="preserve">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w:t>
      </w:r>
      <w:r>
        <w:t xml:space="preserve">Declining volume years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(first doubts, weighing of alternatives, a turning point)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two to three thinning seasons,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developmentally appropriate transitions that Battaglia et al.</w:t>
      </w:r>
      <w:r>
        <w:rPr>
          <w:vertAlign w:val="superscript"/>
        </w:rPr>
        <w:t xml:space="preserve">4</w:t>
      </w:r>
      <w:r>
        <w:t xml:space="preserve"> </w:t>
      </w:r>
      <w:r>
        <w:t xml:space="preserve">argue the dropout-as-crisis framing wrongly pathologizes. The register cannot separate the two, and the reallocation share is unbounded in our data. Norwegian participation research is compatible with both: 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(erosion, reallocation, or constraint)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0.60 full model; Table 3):</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0.43) and females (HR = 0.45), C-index 0.843 for each,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w:t>
      </w:r>
      <w:r>
        <w:rPr>
          <w:vertAlign w:val="superscript"/>
        </w:rPr>
        <w:t xml:space="preserve">36</w:t>
      </w:r>
      <w:r>
        <w:t xml:space="preserve"> </w:t>
      </w:r>
      <w:r>
        <w:t xml:space="preserve">and blanket condemnation of early specialization has been argued to outrun the evidence.</w:t>
      </w:r>
      <w:r>
        <w:rPr>
          <w:vertAlign w:val="superscript"/>
        </w:rPr>
        <w:t xml:space="preserve">37</w:t>
      </w:r>
      <w:r>
        <w:t xml:space="preserve"> </w:t>
      </w:r>
      <w:r>
        <w:t xml:space="preserve">Both findings are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a 3.5-fold difference computed automatically from data the federation already holds (Table 6). Every flagged athlete is low-but-active (cohort entry guarantees a baseline meet), so the flag list is an outreach list, and the same threshold behaves similarly against an activity-at-17 outcome (14% vs 51% still active), so it serves the adolescent-exit target as well as the senior one. Two numbers discipline its use: sensitivity is 0.30, so most future dropouts are</w:t>
      </w:r>
      <w:r>
        <w:t xml:space="preserve"> </w:t>
      </w:r>
      <w:r>
        <w:rPr>
          <w:i/>
          <w:iCs/>
        </w:rPr>
        <w:t xml:space="preserve">not</w:t>
      </w:r>
      <w:r>
        <w:t xml:space="preserve"> </w:t>
      </w:r>
      <w:r>
        <w:t xml:space="preserve">flagged, and unflagged athletes’ own retention is only ~20%.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steepest attrition at 17.</w:t>
      </w:r>
    </w:p>
    <w:p>
      <w:pPr>
        <w:pStyle w:val="BodyText"/>
      </w:pPr>
      <w:r>
        <w:rPr>
          <w:b/>
          <w:bCs/>
        </w:rPr>
        <w:t xml:space="preserve">(3) Lower the cost side of the next competition cycle, as an offer and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each acting on the cost side of the engagement balance.</w:t>
      </w:r>
      <w:r>
        <w:rPr>
          <w:vertAlign w:val="superscript"/>
        </w:rPr>
        <w:t xml:space="preserve">6,7</w:t>
      </w:r>
      <w:r>
        <w:t xml:space="preserve"> </w:t>
      </w:r>
      <w:r>
        <w:t xml:space="preserve">The register cannot distinguish athletes who are blocked from athletes choosing other priorities, and for the latter, a large group by design in a low-threshold system,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And the flag must be support-only: the same list that identifies whom to help could identify whom a stretched club quietly deprioritizes, and deployment must rule that use out.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pull-back is therefore plausibly non-volitional, and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years before exit, and is no averaging artifact. The effect withstands structural, club-level, missing-data, and outcome-definition checks and replicates across cohorts; early heterogeneity and pull-back contribute independently. The findings are consistent with, though do not by themselves confirm,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Ever 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total meets, ages 13–14 (pre-milestone volume)</w:t>
            </w:r>
          </w:p>
        </w:tc>
        <w:tc>
          <w:tcPr/>
          <w:p>
            <w:pPr>
              <w:pStyle w:val="Compact"/>
            </w:pPr>
            <w:r>
              <w:t xml:space="preserve">16</w:t>
            </w:r>
          </w:p>
        </w:tc>
        <w:tc>
          <w:tcPr/>
          <w:p>
            <w:pPr>
              <w:pStyle w:val="Compact"/>
            </w:pPr>
            <w:r>
              <w:t xml:space="preserve">19</w:t>
            </w:r>
          </w:p>
        </w:tc>
        <w:tc>
          <w:tcPr/>
          <w:p>
            <w:pPr>
              <w:pStyle w:val="Compact"/>
            </w:pPr>
            <w:r>
              <w:t xml:space="preserve">17</w:t>
            </w:r>
          </w:p>
        </w:tc>
      </w:tr>
    </w:tbl>
    <w:p>
      <w:pPr>
        <w:pStyle w:val="BodyText"/>
      </w:pPr>
      <w:r>
        <w:rPr>
          <w:i/>
          <w:iCs/>
        </w:rPr>
        <w:t xml:space="preserve">Note.</w:t>
      </w:r>
      <w:r>
        <w:t xml:space="preserve"> </w:t>
      </w:r>
      <w:r>
        <w:t xml:space="preserve">“Active at age 17”</w:t>
      </w:r>
      <w:r>
        <w:t xml:space="preserve"> </w:t>
      </w:r>
      <w:r>
        <w:t xml:space="preserve">indicates ≥2 registered competition results in the athlete’s age-17 calendar year;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0.72</w:t>
            </w:r>
          </w:p>
        </w:tc>
        <w:tc>
          <w:tcPr/>
          <w:p>
            <w:pPr>
              <w:pStyle w:val="Compact"/>
            </w:pPr>
            <w:r>
              <w:t xml:space="preserve">[0.56, 0.93]</w:t>
            </w:r>
          </w:p>
        </w:tc>
        <w:tc>
          <w:tcPr/>
          <w:p>
            <w:pPr>
              <w:pStyle w:val="Compact"/>
            </w:pPr>
            <w:r>
              <w:t xml:space="preserve">.012</w:t>
            </w:r>
          </w:p>
        </w:tc>
        <w:tc>
          <w:tcPr/>
          <w:p>
            <w:pPr>
              <w:pStyle w:val="Compact"/>
            </w:pPr>
            <w:r>
              <w:t xml:space="preserve">0.541 (±0.023)</w:t>
            </w:r>
          </w:p>
        </w:tc>
        <w:tc>
          <w:tcPr/>
          <w:p>
            <w:pPr>
              <w:pStyle w:val="Compact"/>
            </w:pPr>
            <w:r>
              <w:t xml:space="preserve">1,704</w:t>
            </w:r>
          </w:p>
        </w:tc>
      </w:tr>
      <w:tr>
        <w:tc>
          <w:tcPr/>
          <w:p>
            <w:pPr>
              <w:pStyle w:val="Compact"/>
            </w:pPr>
            <w:r>
              <w:t xml:space="preserve">L2: + Performance</w:t>
            </w:r>
          </w:p>
        </w:tc>
        <w:tc>
          <w:tcPr/>
          <w:p>
            <w:pPr>
              <w:pStyle w:val="Compact"/>
            </w:pPr>
            <w:r>
              <w:t xml:space="preserve">Female</w:t>
            </w:r>
          </w:p>
        </w:tc>
        <w:tc>
          <w:tcPr/>
          <w:p>
            <w:pPr>
              <w:pStyle w:val="Compact"/>
            </w:pPr>
            <w:r>
              <w:t xml:space="preserve">0.68</w:t>
            </w:r>
          </w:p>
        </w:tc>
        <w:tc>
          <w:tcPr/>
          <w:p>
            <w:pPr>
              <w:pStyle w:val="Compact"/>
            </w:pPr>
            <w:r>
              <w:t xml:space="preserve">[0.52, 0.88]</w:t>
            </w:r>
          </w:p>
        </w:tc>
        <w:tc>
          <w:tcPr/>
          <w:p>
            <w:pPr>
              <w:pStyle w:val="Compact"/>
            </w:pPr>
            <w:r>
              <w:t xml:space="preserve">.003</w:t>
            </w:r>
          </w:p>
        </w:tc>
        <w:tc>
          <w:tcPr/>
          <w:p>
            <w:pPr>
              <w:pStyle w:val="Compact"/>
            </w:pPr>
            <w:r>
              <w:t xml:space="preserve">0.607 (±0.014)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r>
              <w:t xml:space="preserve">L3: + Specialization</w:t>
            </w:r>
          </w:p>
        </w:tc>
        <w:tc>
          <w:tcPr/>
          <w:p>
            <w:pPr>
              <w:pStyle w:val="Compact"/>
            </w:pPr>
            <w:r>
              <w:t xml:space="preserve">Female</w:t>
            </w:r>
          </w:p>
        </w:tc>
        <w:tc>
          <w:tcPr/>
          <w:p>
            <w:pPr>
              <w:pStyle w:val="Compact"/>
            </w:pPr>
            <w:r>
              <w:t xml:space="preserve">0.68</w:t>
            </w:r>
          </w:p>
        </w:tc>
        <w:tc>
          <w:tcPr/>
          <w:p>
            <w:pPr>
              <w:pStyle w:val="Compact"/>
            </w:pPr>
            <w:r>
              <w:t xml:space="preserve">[0.53, 0.88]</w:t>
            </w:r>
          </w:p>
        </w:tc>
        <w:tc>
          <w:tcPr/>
          <w:p>
            <w:pPr>
              <w:pStyle w:val="Compact"/>
            </w:pPr>
            <w:r>
              <w:t xml:space="preserve">.004</w:t>
            </w:r>
          </w:p>
        </w:tc>
        <w:tc>
          <w:tcPr/>
          <w:p>
            <w:pPr>
              <w:pStyle w:val="Compact"/>
            </w:pPr>
            <w:r>
              <w:t xml:space="preserve">0.600 (±0.019)</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1.41</w:t>
            </w:r>
          </w:p>
        </w:tc>
        <w:tc>
          <w:tcPr/>
          <w:p>
            <w:pPr>
              <w:pStyle w:val="Compact"/>
            </w:pPr>
            <w:r>
              <w:t xml:space="preserve">[1.22, 1.64]</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1.09</w:t>
            </w:r>
          </w:p>
        </w:tc>
        <w:tc>
          <w:tcPr/>
          <w:p>
            <w:pPr>
              <w:pStyle w:val="Compact"/>
            </w:pPr>
            <w:r>
              <w:t xml:space="preserve">[0.95, 1.24]</w:t>
            </w:r>
          </w:p>
        </w:tc>
        <w:tc>
          <w:tcPr/>
          <w:p>
            <w:pPr>
              <w:pStyle w:val="Compact"/>
            </w:pPr>
            <w:r>
              <w:t xml:space="preserve">.238</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0.60</w:t>
            </w:r>
          </w:p>
        </w:tc>
        <w:tc>
          <w:tcPr/>
          <w:p>
            <w:pPr>
              <w:pStyle w:val="Compact"/>
            </w:pPr>
            <w:r>
              <w:t xml:space="preserve">[0.46, 0.80]</w:t>
            </w:r>
          </w:p>
        </w:tc>
        <w:tc>
          <w:tcPr/>
          <w:p>
            <w:pPr>
              <w:pStyle w:val="Compact"/>
            </w:pPr>
            <w:r>
              <w:t xml:space="preserve">&lt; .001</w:t>
            </w:r>
          </w:p>
        </w:tc>
        <w:tc>
          <w:tcPr/>
          <w:p>
            <w:pPr>
              <w:pStyle w:val="Compact"/>
            </w:pPr>
            <w:r>
              <w:rPr>
                <w:b/>
                <w:bCs/>
              </w:rPr>
              <w:t xml:space="preserve">0.751</w:t>
            </w:r>
            <w:r>
              <w:t xml:space="preserve"> </w:t>
            </w:r>
            <w:r>
              <w:t xml:space="preserve">(±0.026)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.144</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1.36</w:t>
            </w:r>
          </w:p>
        </w:tc>
        <w:tc>
          <w:tcPr/>
          <w:p>
            <w:pPr>
              <w:pStyle w:val="Compact"/>
            </w:pPr>
            <w:r>
              <w:t xml:space="preserve">[1.17, 1.57]</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2.40</w:t>
            </w:r>
          </w:p>
        </w:tc>
        <w:tc>
          <w:tcPr/>
          <w:p>
            <w:pPr>
              <w:pStyle w:val="Compact"/>
            </w:pPr>
            <w:r>
              <w:rPr>
                <w:b/>
                <w:bCs/>
              </w:rPr>
              <w:t xml:space="preserve">[2.08, 2.76]</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Pre-milestone volume is the sum of distinct meets attended at ages 13 and 14. Continuous covariates are z-standardized so ORs reflect per-SD effects. Cross-validated AUC uses 5-fold stratified resampling. The pre-milestone volume coefficient is the dominant single-step gain (AUC 0.600 → 0.751). HHI becomes significant once volume is entered (mutual adjustment); the direction indicates that higher concentration in fewer event categories is associated with higher retention odds (see also Discussion 4.6).</w:t>
      </w:r>
    </w:p>
    <w:p>
      <w:r>
        <w:pict>
          <v:rect style="width:0;height:1.5pt" o:hralign="center" o:hrstd="t" o:hr="t"/>
        </w:pict>
      </w:r>
    </w:p>
    <w:bookmarkEnd w:id="68"/>
    <w:bookmarkStart w:id="69" w:name="Xead665dc21eb92f77ea82cce847e701a62b1bef"/>
    <w:p>
      <w:pPr>
        <w:pStyle w:val="Heading2"/>
      </w:pPr>
      <w:r>
        <w:t xml:space="preserve">Table 4. Pull-back versus baseline heterogeneity: volume level and within-athlete change</w:t>
      </w:r>
    </w:p>
    <w:p>
      <w:pPr>
        <w:pStyle w:val="FirstParagraph"/>
      </w:pPr>
      <w:r>
        <w:t xml:space="preserve">Athletes still active (≥1 result) at age 14: 1,914; fitted models are complete-case on Tyrving, n = 1,549 (Tyrving missingness is concentrated among early-inactive athletes; see Supplementary Table S12).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0.61</w:t>
            </w:r>
          </w:p>
        </w:tc>
        <w:tc>
          <w:tcPr/>
          <w:p>
            <w:pPr>
              <w:pStyle w:val="Compact"/>
            </w:pPr>
            <w:r>
              <w:t xml:space="preserve">[0.46,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1.12</w:t>
            </w:r>
          </w:p>
        </w:tc>
        <w:tc>
          <w:tcPr/>
          <w:p>
            <w:pPr>
              <w:pStyle w:val="Compact"/>
            </w:pPr>
            <w:r>
              <w:t xml:space="preserve">[0.96, 1.30]</w:t>
            </w:r>
          </w:p>
        </w:tc>
        <w:tc>
          <w:tcPr/>
          <w:p>
            <w:pPr>
              <w:pStyle w:val="Compact"/>
            </w:pPr>
            <w:r>
              <w:t xml:space="preserve">.167</w:t>
            </w:r>
          </w:p>
        </w:tc>
      </w:tr>
      <w:tr>
        <w:tc>
          <w:tcPr/>
          <w:p>
            <w:pPr>
              <w:pStyle w:val="Compact"/>
            </w:pPr>
          </w:p>
        </w:tc>
        <w:tc>
          <w:tcPr/>
          <w:p>
            <w:pPr>
              <w:pStyle w:val="Compact"/>
            </w:pPr>
            <w:r>
              <w:rPr>
                <w:b/>
                <w:bCs/>
              </w:rPr>
              <w:t xml:space="preserve">Volume at age 14 (z)</w:t>
            </w:r>
          </w:p>
        </w:tc>
        <w:tc>
          <w:tcPr/>
          <w:p>
            <w:pPr>
              <w:pStyle w:val="Compact"/>
            </w:pPr>
            <w:r>
              <w:rPr>
                <w:b/>
                <w:bCs/>
              </w:rPr>
              <w:t xml:space="preserve">2.23</w:t>
            </w:r>
          </w:p>
        </w:tc>
        <w:tc>
          <w:tcPr/>
          <w:p>
            <w:pPr>
              <w:pStyle w:val="Compact"/>
            </w:pPr>
            <w:r>
              <w:rPr>
                <w:b/>
                <w:bCs/>
              </w:rPr>
              <w:t xml:space="preserve">[1.94, 2.57]</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0.60</w:t>
            </w:r>
          </w:p>
        </w:tc>
        <w:tc>
          <w:tcPr/>
          <w:p>
            <w:pPr>
              <w:pStyle w:val="Compact"/>
            </w:pPr>
            <w:r>
              <w:t xml:space="preserve">[0.44, 0.81]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1.01</w:t>
            </w:r>
          </w:p>
        </w:tc>
        <w:tc>
          <w:tcPr/>
          <w:p>
            <w:pPr>
              <w:pStyle w:val="Compact"/>
            </w:pPr>
            <w:r>
              <w:t xml:space="preserve">[0.86, 1.19]</w:t>
            </w:r>
          </w:p>
        </w:tc>
        <w:tc>
          <w:tcPr/>
          <w:p>
            <w:pPr>
              <w:pStyle w:val="Compact"/>
            </w:pPr>
            <w:r>
              <w:t xml:space="preserve">.882</w:t>
            </w:r>
          </w:p>
        </w:tc>
      </w:tr>
      <w:tr>
        <w:tc>
          <w:tcPr/>
          <w:p>
            <w:pPr>
              <w:pStyle w:val="Compact"/>
            </w:pPr>
          </w:p>
        </w:tc>
        <w:tc>
          <w:tcPr/>
          <w:p>
            <w:pPr>
              <w:pStyle w:val="Compact"/>
            </w:pPr>
            <w:r>
              <w:rPr>
                <w:b/>
                <w:bCs/>
              </w:rPr>
              <w:t xml:space="preserve">Volume at age 14 (z)</w:t>
            </w:r>
          </w:p>
        </w:tc>
        <w:tc>
          <w:tcPr/>
          <w:p>
            <w:pPr>
              <w:pStyle w:val="Compact"/>
            </w:pPr>
            <w:r>
              <w:rPr>
                <w:b/>
                <w:bCs/>
              </w:rPr>
              <w:t xml:space="preserve">2.79</w:t>
            </w:r>
          </w:p>
        </w:tc>
        <w:tc>
          <w:tcPr/>
          <w:p>
            <w:pPr>
              <w:pStyle w:val="Compact"/>
            </w:pPr>
            <w:r>
              <w:rPr>
                <w:b/>
                <w:bCs/>
              </w:rPr>
              <w:t xml:space="preserve">[2.37, 3.28]</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2.44</w:t>
            </w:r>
          </w:p>
        </w:tc>
        <w:tc>
          <w:tcPr/>
          <w:p>
            <w:pPr>
              <w:pStyle w:val="Compact"/>
            </w:pPr>
            <w:r>
              <w:rPr>
                <w:b/>
                <w:bCs/>
              </w:rPr>
              <w:t xml:space="preserve">[2.10, 2.83]</w:t>
            </w:r>
          </w:p>
        </w:tc>
        <w:tc>
          <w:tcPr/>
          <w:p>
            <w:pPr>
              <w:pStyle w:val="Compact"/>
            </w:pPr>
            <w:r>
              <w:rPr>
                <w:b/>
                <w:bCs/>
              </w:rPr>
              <w:t xml:space="preserve">&lt; .001</w:t>
            </w:r>
          </w:p>
        </w:tc>
      </w:tr>
    </w:tbl>
    <w:p>
      <w:pPr>
        <w:pStyle w:val="BodyText"/>
      </w:pPr>
      <w:r>
        <w:rPr>
          <w:i/>
          <w:iCs/>
        </w:rPr>
        <w:t xml:space="preserve">Note.</w:t>
      </w:r>
      <w:r>
        <w:t xml:space="preserve"> </w:t>
      </w:r>
      <w:r>
        <w:t xml:space="preserve">Pseudo-</w:t>
      </w:r>
      <w:r>
        <w:rPr>
          <w:i/>
          <w:iCs/>
        </w:rPr>
        <w:t xml:space="preserve">R</w:t>
      </w:r>
      <w:r>
        <w:t xml:space="preserve">² rose from 0.113 (M1) to 0.227 (M2): within-athlete change adds substantial information conditional on baseline level. A one-SD greater decline from age 14 to age 15 was associated with 2.4-times lower retention odds, conditional on level at age 14. Both baseline level and within-athlete pull-back 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9.3</w:t>
            </w:r>
          </w:p>
        </w:tc>
        <w:tc>
          <w:tcPr/>
          <w:p>
            <w:pPr>
              <w:pStyle w:val="Compact"/>
            </w:pPr>
            <w:r>
              <w:t xml:space="preserve">0.10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7.1% [3.6, 11.3]</w:t>
            </w:r>
          </w:p>
        </w:tc>
        <w:tc>
          <w:tcPr/>
          <w:p>
            <w:pPr>
              <w:pStyle w:val="Compact"/>
            </w:pPr>
            <w:r>
              <w:t xml:space="preserve">17.3% [15.7, 19.1]</w:t>
            </w:r>
          </w:p>
        </w:tc>
      </w:tr>
      <w:tr>
        <w:tc>
          <w:tcPr/>
          <w:p>
            <w:pPr>
              <w:pStyle w:val="Compact"/>
            </w:pPr>
            <w:r>
              <w:t xml:space="preserve">8 meets</w:t>
            </w:r>
          </w:p>
        </w:tc>
        <w:tc>
          <w:tcPr/>
          <w:p>
            <w:pPr>
              <w:pStyle w:val="Compact"/>
            </w:pPr>
            <w:r>
              <w:t xml:space="preserve">19.8</w:t>
            </w:r>
          </w:p>
        </w:tc>
        <w:tc>
          <w:tcPr/>
          <w:p>
            <w:pPr>
              <w:pStyle w:val="Compact"/>
            </w:pPr>
            <w:r>
              <w:t xml:space="preserve">0.22 [0.20, 0.24]</w:t>
            </w:r>
          </w:p>
        </w:tc>
        <w:tc>
          <w:tcPr/>
          <w:p>
            <w:pPr>
              <w:pStyle w:val="Compact"/>
            </w:pPr>
            <w:r>
              <w:t xml:space="preserve">0.93 [0.90, 0.96]</w:t>
            </w:r>
          </w:p>
        </w:tc>
        <w:tc>
          <w:tcPr/>
          <w:p>
            <w:pPr>
              <w:pStyle w:val="Compact"/>
            </w:pPr>
            <w:r>
              <w:rPr>
                <w:b/>
                <w:bCs/>
              </w:rPr>
              <w:t xml:space="preserve">0.94</w:t>
            </w:r>
            <w:r>
              <w:t xml:space="preserve"> </w:t>
            </w:r>
            <w:r>
              <w:t xml:space="preserve">[0.92, 0.96]</w:t>
            </w:r>
          </w:p>
        </w:tc>
        <w:tc>
          <w:tcPr/>
          <w:p>
            <w:pPr>
              <w:pStyle w:val="Compact"/>
            </w:pPr>
            <w:r>
              <w:t xml:space="preserve">0.19 [0.17, 0.21]</w:t>
            </w:r>
          </w:p>
        </w:tc>
        <w:tc>
          <w:tcPr/>
          <w:p>
            <w:pPr>
              <w:pStyle w:val="Compact"/>
            </w:pPr>
            <w:r>
              <w:t xml:space="preserve">5.7% [3.6, 7.9]</w:t>
            </w:r>
          </w:p>
        </w:tc>
        <w:tc>
          <w:tcPr/>
          <w:p>
            <w:pPr>
              <w:pStyle w:val="Compact"/>
            </w:pPr>
            <w:r>
              <w:t xml:space="preserve">19.0% [17.2, 21.0]</w:t>
            </w:r>
          </w:p>
        </w:tc>
      </w:tr>
      <w:tr>
        <w:tc>
          <w:tcPr/>
          <w:p>
            <w:pPr>
              <w:pStyle w:val="Compact"/>
            </w:pPr>
            <w:r>
              <w:t xml:space="preserve">10 meets</w:t>
            </w:r>
          </w:p>
        </w:tc>
        <w:tc>
          <w:tcPr/>
          <w:p>
            <w:pPr>
              <w:pStyle w:val="Compact"/>
            </w:pPr>
            <w:r>
              <w:t xml:space="preserve">26.4</w:t>
            </w:r>
          </w:p>
        </w:tc>
        <w:tc>
          <w:tcPr/>
          <w:p>
            <w:pPr>
              <w:pStyle w:val="Compact"/>
            </w:pPr>
            <w:r>
              <w:t xml:space="preserve">0.30 [0.28, 0.32]</w:t>
            </w:r>
          </w:p>
        </w:tc>
        <w:tc>
          <w:tcPr/>
          <w:p>
            <w:pPr>
              <w:pStyle w:val="Compact"/>
            </w:pPr>
            <w:r>
              <w:t xml:space="preserve">0.91 [0.88, 0.94]</w:t>
            </w:r>
          </w:p>
        </w:tc>
        <w:tc>
          <w:tcPr/>
          <w:p>
            <w:pPr>
              <w:pStyle w:val="Compact"/>
            </w:pPr>
            <w:r>
              <w:rPr>
                <w:b/>
                <w:bCs/>
              </w:rPr>
              <w:t xml:space="preserve">0.94</w:t>
            </w:r>
            <w:r>
              <w:t xml:space="preserve"> </w:t>
            </w:r>
            <w:r>
              <w:t xml:space="preserve">[0.92, 0.96]</w:t>
            </w:r>
          </w:p>
        </w:tc>
        <w:tc>
          <w:tcPr/>
          <w:p>
            <w:pPr>
              <w:pStyle w:val="Compact"/>
            </w:pPr>
            <w:r>
              <w:t xml:space="preserve">0.20 [0.18, 0.22]</w:t>
            </w:r>
          </w:p>
        </w:tc>
        <w:tc>
          <w:tcPr/>
          <w:p>
            <w:pPr>
              <w:pStyle w:val="Compact"/>
            </w:pPr>
            <w:r>
              <w:t xml:space="preserve">5.7% [3.9, 7.7]</w:t>
            </w:r>
          </w:p>
        </w:tc>
        <w:tc>
          <w:tcPr/>
          <w:p>
            <w:pPr>
              <w:pStyle w:val="Compact"/>
            </w:pPr>
            <w:r>
              <w:t xml:space="preserve">20.2% [18.3, 22.2]</w:t>
            </w:r>
          </w:p>
        </w:tc>
      </w:tr>
      <w:tr>
        <w:tc>
          <w:tcPr/>
          <w:p>
            <w:pPr>
              <w:pStyle w:val="Compact"/>
            </w:pPr>
            <w:r>
              <w:t xml:space="preserve">15 meets</w:t>
            </w:r>
          </w:p>
        </w:tc>
        <w:tc>
          <w:tcPr/>
          <w:p>
            <w:pPr>
              <w:pStyle w:val="Compact"/>
            </w:pPr>
            <w:r>
              <w:t xml:space="preserve">43.1</w:t>
            </w:r>
          </w:p>
        </w:tc>
        <w:tc>
          <w:tcPr/>
          <w:p>
            <w:pPr>
              <w:pStyle w:val="Compact"/>
            </w:pPr>
            <w:r>
              <w:t xml:space="preserve">0.48 [0.46, 0.50]</w:t>
            </w:r>
          </w:p>
        </w:tc>
        <w:tc>
          <w:tcPr/>
          <w:p>
            <w:pPr>
              <w:pStyle w:val="Compact"/>
            </w:pPr>
            <w:r>
              <w:t xml:space="preserve">0.82 [0.77, 0.85]</w:t>
            </w:r>
          </w:p>
        </w:tc>
        <w:tc>
          <w:tcPr/>
          <w:p>
            <w:pPr>
              <w:pStyle w:val="Compact"/>
            </w:pPr>
            <w:r>
              <w:rPr>
                <w:b/>
                <w:bCs/>
              </w:rPr>
              <w:t xml:space="preserve">0.93</w:t>
            </w:r>
            <w:r>
              <w:t xml:space="preserve"> </w:t>
            </w:r>
            <w:r>
              <w:t xml:space="preserve">[0.91, 0.95]</w:t>
            </w:r>
          </w:p>
        </w:tc>
        <w:tc>
          <w:tcPr/>
          <w:p>
            <w:pPr>
              <w:pStyle w:val="Compact"/>
            </w:pPr>
            <w:r>
              <w:t xml:space="preserve">0.24 [0.21, 0.26]</w:t>
            </w:r>
          </w:p>
        </w:tc>
        <w:tc>
          <w:tcPr/>
          <w:p>
            <w:pPr>
              <w:pStyle w:val="Compact"/>
            </w:pPr>
            <w:r>
              <w:t xml:space="preserve">7.0% [5.4, 8.7]</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2,123); brackets are 2,000-replicate bootstrap 95% CIs. PPV is the proportion of flagged athletes who subsequently failed to retain senior activity. The final two columns give the absolute retention contrast: at the &lt; 10 threshold, 5.7% among flagged vs. 20.2% among unflagged athletes (a 3.5-fold difference). The high PPV partly reflects the population’s 84% non-retention base rate (the threshold improves precision by ~10 percentage points over base-rate prediction), and the NPV of ≈ 0.20 means unflagged athletes are not</w:t>
      </w:r>
      <w:r>
        <w:t xml:space="preserve"> </w:t>
      </w:r>
      <w:r>
        <w:t xml:space="preserve">“safe”</w:t>
      </w:r>
      <w:r>
        <w:t xml:space="preserve">: roughly four in five of them also fail to retain. Calibration of the underlying model is reported in Supplementary Table S23.</w:t>
      </w:r>
    </w:p>
    <w:p>
      <w:r>
        <w:pict>
          <v:rect style="width:0;height:1.5pt" o:hralign="center" o:hrstd="t" o:hr="t"/>
        </w:pict>
      </w:r>
    </w:p>
    <w:bookmarkEnd w:id="71"/>
    <w:bookmarkStart w:id="72" w:name="Xe9b21a988fbcae595b6ca55e69894fe6653a1ba"/>
    <w:p>
      <w:pPr>
        <w:pStyle w:val="Heading2"/>
      </w:pPr>
      <w:r>
        <w:t xml:space="preserve">Table 7. Cross-cohort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0.50</w:t>
            </w:r>
          </w:p>
        </w:tc>
        <w:tc>
          <w:tcPr/>
          <w:p>
            <w:pPr>
              <w:pStyle w:val="Compact"/>
            </w:pPr>
            <w:r>
              <w:t xml:space="preserve">[0.34, 0.74]</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1.14</w:t>
            </w:r>
          </w:p>
        </w:tc>
        <w:tc>
          <w:tcPr/>
          <w:p>
            <w:pPr>
              <w:pStyle w:val="Compact"/>
            </w:pPr>
            <w:r>
              <w:t xml:space="preserve">[0.94, 1.39]</w:t>
            </w:r>
          </w:p>
        </w:tc>
        <w:tc>
          <w:tcPr/>
          <w:p>
            <w:pPr>
              <w:pStyle w:val="Compact"/>
            </w:pPr>
            <w:r>
              <w:t xml:space="preserve">.179</w:t>
            </w:r>
          </w:p>
        </w:tc>
      </w:tr>
      <w:tr>
        <w:tc>
          <w:tcPr/>
          <w:p>
            <w:pPr>
              <w:pStyle w:val="Compact"/>
            </w:pPr>
          </w:p>
        </w:tc>
        <w:tc>
          <w:tcPr/>
          <w:p>
            <w:pPr>
              <w:pStyle w:val="Compact"/>
            </w:pPr>
          </w:p>
        </w:tc>
        <w:tc>
          <w:tcPr/>
          <w:p>
            <w:pPr>
              <w:pStyle w:val="Compact"/>
            </w:pPr>
            <w:r>
              <w:t xml:space="preserve">HHI early (z)</w:t>
            </w:r>
          </w:p>
        </w:tc>
        <w:tc>
          <w:tcPr/>
          <w:p>
            <w:pPr>
              <w:pStyle w:val="Compact"/>
            </w:pPr>
            <w:r>
              <w:t xml:space="preserve">1.24</w:t>
            </w:r>
          </w:p>
        </w:tc>
        <w:tc>
          <w:tcPr/>
          <w:p>
            <w:pPr>
              <w:pStyle w:val="Compact"/>
            </w:pPr>
            <w:r>
              <w:t xml:space="preserve">[1.03, 1.51]</w:t>
            </w:r>
          </w:p>
        </w:tc>
        <w:tc>
          <w:tcPr/>
          <w:p>
            <w:pPr>
              <w:pStyle w:val="Compact"/>
            </w:pPr>
            <w:r>
              <w:t xml:space="preserve">.027</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2.22</w:t>
            </w:r>
          </w:p>
        </w:tc>
        <w:tc>
          <w:tcPr/>
          <w:p>
            <w:pPr>
              <w:pStyle w:val="Compact"/>
            </w:pPr>
            <w:r>
              <w:rPr>
                <w:b/>
                <w:bCs/>
              </w:rPr>
              <w:t xml:space="preserve">[1.86, 2.64]</w:t>
            </w:r>
          </w:p>
        </w:tc>
        <w:tc>
          <w:tcPr/>
          <w:p>
            <w:pPr>
              <w:pStyle w:val="Compact"/>
            </w:pPr>
            <w:r>
              <w:rPr>
                <w:b/>
                <w:bCs/>
              </w:rPr>
              <w:t xml:space="preserve">&lt; .001</w:t>
            </w: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0.82</w:t>
            </w:r>
          </w:p>
        </w:tc>
        <w:tc>
          <w:tcPr/>
          <w:p>
            <w:pPr>
              <w:pStyle w:val="Compact"/>
            </w:pPr>
            <w:r>
              <w:t xml:space="preserve">[0.55, 1.22]</w:t>
            </w:r>
          </w:p>
        </w:tc>
        <w:tc>
          <w:tcPr/>
          <w:p>
            <w:pPr>
              <w:pStyle w:val="Compact"/>
            </w:pPr>
            <w:r>
              <w:t xml:space="preserve">.333</w:t>
            </w:r>
          </w:p>
        </w:tc>
      </w:tr>
      <w:tr>
        <w:tc>
          <w:tcPr/>
          <w:p>
            <w:pPr>
              <w:pStyle w:val="Compact"/>
            </w:pPr>
          </w:p>
        </w:tc>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[0.84, 1.32]</w:t>
            </w:r>
          </w:p>
        </w:tc>
        <w:tc>
          <w:tcPr/>
          <w:p>
            <w:pPr>
              <w:pStyle w:val="Compact"/>
            </w:pPr>
            <w:r>
              <w:t xml:space="preserve">.658</w:t>
            </w:r>
          </w:p>
        </w:tc>
      </w:tr>
      <w:tr>
        <w:tc>
          <w:tcPr/>
          <w:p>
            <w:pPr>
              <w:pStyle w:val="Compact"/>
            </w:pPr>
          </w:p>
        </w:tc>
        <w:tc>
          <w:tcPr/>
          <w:p>
            <w:pPr>
              <w:pStyle w:val="Compact"/>
            </w:pPr>
          </w:p>
        </w:tc>
        <w:tc>
          <w:tcPr/>
          <w:p>
            <w:pPr>
              <w:pStyle w:val="Compact"/>
            </w:pPr>
            <w:r>
              <w:t xml:space="preserve">HHI early (z)</w:t>
            </w:r>
          </w:p>
        </w:tc>
        <w:tc>
          <w:tcPr/>
          <w:p>
            <w:pPr>
              <w:pStyle w:val="Compact"/>
            </w:pPr>
            <w:r>
              <w:t xml:space="preserve">1.58</w:t>
            </w:r>
          </w:p>
        </w:tc>
        <w:tc>
          <w:tcPr/>
          <w:p>
            <w:pPr>
              <w:pStyle w:val="Compact"/>
            </w:pPr>
            <w:r>
              <w:t xml:space="preserve">[1.25, 1.99]</w:t>
            </w:r>
          </w:p>
        </w:tc>
        <w:tc>
          <w:tcPr/>
          <w:p>
            <w:pPr>
              <w:pStyle w:val="Compact"/>
            </w:pPr>
            <w:r>
              <w:t xml:space="preserve">&lt; .001</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2.79</w:t>
            </w:r>
          </w:p>
        </w:tc>
        <w:tc>
          <w:tcPr/>
          <w:p>
            <w:pPr>
              <w:pStyle w:val="Compact"/>
            </w:pPr>
            <w:r>
              <w:rPr>
                <w:b/>
                <w:bCs/>
              </w:rPr>
              <w:t xml:space="preserve">[2.17, 3.58]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Pre-milestone volume effect replicates in both cohorts at similar magnitude. The cohort difference in the female coefficient parallels the broader sex-effect pattern discussed in §4.5; HHI is significant in both cohorts in the same direction (higher concentration = higher retention).</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and the role-exit / withdrawal-as-process tradition (left) are not directly observed, but are predicted to leave a footprint in measurable competition behavior (centre), which precedes the outcome of active senior retention (right).</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Athletes in the highest stratum retained 71% senior activity at follow-up year 14; athletes in the lowest stratum retained 4%.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2026-09-03T07:55:00Z</dcterms:created>
  <dcterms:modified xsi:type="dcterms:W3CDTF">2026-09-03T07:55:00Z</dcterms:modified>
</cp:coreProperties>
</file>

<file path=docProps/custom.xml><?xml version="1.0" encoding="utf-8"?>
<Properties xmlns="http://schemas.openxmlformats.org/officeDocument/2006/custom-properties" xmlns:vt="http://schemas.openxmlformats.org/officeDocument/2006/docPropsVTypes"/>
</file>