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ables"/>
    <w:p>
      <w:pPr>
        <w:pStyle w:val="Heading1"/>
      </w:pPr>
      <w:r>
        <w:t xml:space="preserve">Tables</w:t>
      </w:r>
    </w:p>
    <w:p>
      <w:r>
        <w:pict>
          <v:rect style="width:0;height:1.5pt" o:hralign="center" o:hrstd="t" o:hr="t"/>
        </w:pict>
      </w:r>
    </w:p>
    <w:bookmarkStart w:id="9" w:name="X3f3effad2eaa83c7207be569d73957223d2e30a"/>
    <w:p>
      <w:pPr>
        <w:pStyle w:val="Heading2"/>
      </w:pPr>
      <w:r>
        <w:t xml:space="preserve">Table 1. Cohort characteristics by birth-year cohort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Cohort A (1998–2000)</w:t>
            </w:r>
          </w:p>
        </w:tc>
        <w:tc>
          <w:tcPr/>
          <w:p>
            <w:pPr>
              <w:pStyle w:val="Compact"/>
            </w:pPr>
            <w:r>
              <w:t xml:space="preserve">Cohort B (2001–2002)</w:t>
            </w:r>
          </w:p>
        </w:tc>
        <w:tc>
          <w:tcPr/>
          <w:p>
            <w:pPr>
              <w:pStyle w:val="Compact"/>
            </w:pPr>
            <w:r>
              <w:t xml:space="preserve">All cohorts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1,301</w:t>
            </w:r>
          </w:p>
        </w:tc>
        <w:tc>
          <w:tcPr/>
          <w:p>
            <w:pPr>
              <w:pStyle w:val="Compact"/>
            </w:pPr>
            <w:r>
              <w:t xml:space="preserve">822</w:t>
            </w:r>
          </w:p>
        </w:tc>
        <w:tc>
          <w:tcPr/>
          <w:p>
            <w:pPr>
              <w:pStyle w:val="Compact"/>
            </w:pPr>
            <w:r>
              <w:t xml:space="preserve">2,123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 (n)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 (n)</w:t>
            </w:r>
          </w:p>
        </w:tc>
        <w:tc>
          <w:tcPr/>
          <w:p>
            <w:pPr>
              <w:pStyle w:val="Compact"/>
            </w:pPr>
            <w:r>
              <w:t xml:space="preserve">684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1,103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unknown (n)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career length (years)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at age 17 (%)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41.6</w:t>
            </w:r>
          </w:p>
        </w:tc>
        <w:tc>
          <w:tcPr/>
          <w:p>
            <w:pPr>
              <w:pStyle w:val="Compact"/>
            </w:pPr>
            <w:r>
              <w:t xml:space="preserve">41.3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 active at age 20+ (%)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active in 2024 or later (%)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Tyrving best at baseline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total meets, ages 13–14 (pre-milestone volume)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“Active at age 17”</w:t>
      </w:r>
      <w:r>
        <w:t xml:space="preserve"> </w:t>
      </w:r>
      <w:r>
        <w:t xml:space="preserve">indicates ≥2 registered competition results in the athlete’s age-17 calendar year;</w:t>
      </w:r>
      <w:r>
        <w:t xml:space="preserve"> </w:t>
      </w:r>
      <w:r>
        <w:t xml:space="preserve">“Ever active at age 20+”</w:t>
      </w:r>
      <w:r>
        <w:t xml:space="preserve"> </w:t>
      </w:r>
      <w:r>
        <w:t xml:space="preserve">is the outcome prevalence (≥2 results in any calendar year at age 20 or later). Tyrving points = the Norwegian Athletics Federation’s age-norm score, where 1,000 corresponds to the published reference performance for that event × sex × age combination.</w:t>
      </w:r>
    </w:p>
    <w:p>
      <w:r>
        <w:pict>
          <v:rect style="width:0;height:1.5pt" o:hralign="center" o:hrstd="t" o:hr="t"/>
        </w:pict>
      </w:r>
    </w:p>
    <w:bookmarkEnd w:id="9"/>
    <w:bookmarkStart w:id="10" w:name="X9a6c38783434298188d0179517197b4d55f1fe6"/>
    <w:p>
      <w:pPr>
        <w:pStyle w:val="Heading2"/>
      </w:pPr>
      <w:r>
        <w:t xml:space="preserve">Table 2. Competition volume trajectory by senior-retention status (median competitions per year and IQR)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Age 13</w:t>
            </w:r>
          </w:p>
        </w:tc>
        <w:tc>
          <w:tcPr/>
          <w:p>
            <w:pPr>
              <w:pStyle w:val="Compact"/>
            </w:pPr>
            <w:r>
              <w:t xml:space="preserve">Age 14</w:t>
            </w:r>
          </w:p>
        </w:tc>
        <w:tc>
          <w:tcPr/>
          <w:p>
            <w:pPr>
              <w:pStyle w:val="Compact"/>
            </w:pPr>
            <w:r>
              <w:t xml:space="preserve">Age 15</w:t>
            </w:r>
          </w:p>
        </w:tc>
        <w:tc>
          <w:tcPr/>
          <w:p>
            <w:pPr>
              <w:pStyle w:val="Compact"/>
            </w:pPr>
            <w:r>
              <w:t xml:space="preserve">Age 16</w:t>
            </w:r>
          </w:p>
        </w:tc>
        <w:tc>
          <w:tcPr/>
          <w:p>
            <w:pPr>
              <w:pStyle w:val="Compact"/>
            </w:pPr>
            <w:r>
              <w:t xml:space="preserve">Age 17</w:t>
            </w:r>
          </w:p>
        </w:tc>
        <w:tc>
          <w:tcPr/>
          <w:p>
            <w:pPr>
              <w:pStyle w:val="Compact"/>
            </w:pPr>
            <w:r>
              <w:t xml:space="preserve">Age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retainers (active age ≥20)</w:t>
            </w:r>
          </w:p>
        </w:tc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13 [6–21]</w:t>
            </w:r>
          </w:p>
        </w:tc>
        <w:tc>
          <w:tcPr/>
          <w:p>
            <w:pPr>
              <w:pStyle w:val="Compact"/>
            </w:pPr>
            <w:r>
              <w:t xml:space="preserve">17 [10–25]</w:t>
            </w:r>
          </w:p>
        </w:tc>
        <w:tc>
          <w:tcPr/>
          <w:p>
            <w:pPr>
              <w:pStyle w:val="Compact"/>
            </w:pPr>
            <w:r>
              <w:t xml:space="preserve">19 [11–27]</w:t>
            </w:r>
          </w:p>
        </w:tc>
        <w:tc>
          <w:tcPr/>
          <w:p>
            <w:pPr>
              <w:pStyle w:val="Compact"/>
            </w:pPr>
            <w:r>
              <w:t xml:space="preserve">18 [10–26]</w:t>
            </w:r>
          </w:p>
        </w:tc>
        <w:tc>
          <w:tcPr/>
          <w:p>
            <w:pPr>
              <w:pStyle w:val="Compact"/>
            </w:pPr>
            <w:r>
              <w:t xml:space="preserve">17 [10–24]</w:t>
            </w:r>
          </w:p>
        </w:tc>
        <w:tc>
          <w:tcPr/>
          <w:p>
            <w:pPr>
              <w:pStyle w:val="Compact"/>
            </w:pPr>
            <w:r>
              <w:t xml:space="preserve">14 [7–20]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Dropouts (last active age &lt;20)</w:t>
            </w:r>
          </w:p>
        </w:tc>
        <w:tc>
          <w:tcPr/>
          <w:p>
            <w:pPr>
              <w:pStyle w:val="Compact"/>
            </w:pPr>
            <w:r>
              <w:t xml:space="preserve">1,775</w:t>
            </w:r>
          </w:p>
        </w:tc>
        <w:tc>
          <w:tcPr/>
          <w:p>
            <w:pPr>
              <w:pStyle w:val="Compact"/>
            </w:pPr>
            <w:r>
              <w:t xml:space="preserve">8 [4–13]</w:t>
            </w:r>
          </w:p>
        </w:tc>
        <w:tc>
          <w:tcPr/>
          <w:p>
            <w:pPr>
              <w:pStyle w:val="Compact"/>
            </w:pPr>
            <w:r>
              <w:t xml:space="preserve">8 [3–14]</w:t>
            </w:r>
          </w:p>
        </w:tc>
        <w:tc>
          <w:tcPr/>
          <w:p>
            <w:pPr>
              <w:pStyle w:val="Compact"/>
            </w:pPr>
            <w:r>
              <w:t xml:space="preserve">3 [0–11]</w:t>
            </w:r>
          </w:p>
        </w:tc>
        <w:tc>
          <w:tcPr/>
          <w:p>
            <w:pPr>
              <w:pStyle w:val="Compact"/>
            </w:pPr>
            <w:r>
              <w:t xml:space="preserve">0 [0–7]</w:t>
            </w:r>
          </w:p>
        </w:tc>
        <w:tc>
          <w:tcPr/>
          <w:p>
            <w:pPr>
              <w:pStyle w:val="Compact"/>
            </w:pPr>
            <w:r>
              <w:t xml:space="preserve">0 [0–2]</w:t>
            </w:r>
          </w:p>
        </w:tc>
        <w:tc>
          <w:tcPr/>
          <w:p>
            <w:pPr>
              <w:pStyle w:val="Compact"/>
            </w:pPr>
            <w:r>
              <w:t xml:space="preserve">0 [0–0]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Values are median number of meets per year [IQR]. Future retainers and future dropouts already differ at ages 13–14; the gap widens further across the age-14-to-15 transition.</w:t>
      </w:r>
    </w:p>
    <w:p>
      <w:r>
        <w:pict>
          <v:rect style="width:0;height:1.5pt" o:hralign="center" o:hrstd="t" o:hr="t"/>
        </w:pict>
      </w:r>
    </w:p>
    <w:bookmarkEnd w:id="10"/>
    <w:bookmarkStart w:id="11" w:name="Xb8cde947c4ddc1e5df834e78ab22bae1a1fbba6"/>
    <w:p>
      <w:pPr>
        <w:pStyle w:val="Heading2"/>
      </w:pPr>
      <w:r>
        <w:t xml:space="preserve">Table 3. Primary analysis: prospective logistic regression for active senior status (baseline-only predictors, ages 13–14)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CV-AUC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L1: Sex only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[0.56, 0.93]</w:t>
            </w:r>
          </w:p>
        </w:tc>
        <w:tc>
          <w:tcPr/>
          <w:p>
            <w:pPr>
              <w:pStyle w:val="Compact"/>
            </w:pPr>
            <w:r>
              <w:t xml:space="preserve">.012</w:t>
            </w:r>
          </w:p>
        </w:tc>
        <w:tc>
          <w:tcPr/>
          <w:p>
            <w:pPr>
              <w:pStyle w:val="Compact"/>
            </w:pPr>
            <w:r>
              <w:t xml:space="preserve">0.541 (±0.023)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L2: + Performance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[0.52, 0.88]</w:t>
            </w:r>
          </w:p>
        </w:tc>
        <w:tc>
          <w:tcPr/>
          <w:p>
            <w:pPr>
              <w:pStyle w:val="Compact"/>
            </w:pPr>
            <w:r>
              <w:t xml:space="preserve">.003</w:t>
            </w:r>
          </w:p>
        </w:tc>
        <w:tc>
          <w:tcPr/>
          <w:p>
            <w:pPr>
              <w:pStyle w:val="Compact"/>
            </w:pPr>
            <w:r>
              <w:t xml:space="preserve">0.607 (±0.014)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  <w:tc>
          <w:tcPr/>
          <w:p>
            <w:pPr>
              <w:pStyle w:val="Compact"/>
            </w:pPr>
            <w:r>
              <w:t xml:space="preserve">[1.22, 1.64]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L3: + Specialization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[0.53, 0.88]</w:t>
            </w:r>
          </w:p>
        </w:tc>
        <w:tc>
          <w:tcPr/>
          <w:p>
            <w:pPr>
              <w:pStyle w:val="Compact"/>
            </w:pPr>
            <w:r>
              <w:t xml:space="preserve">.004</w:t>
            </w:r>
          </w:p>
        </w:tc>
        <w:tc>
          <w:tcPr/>
          <w:p>
            <w:pPr>
              <w:pStyle w:val="Compact"/>
            </w:pPr>
            <w:r>
              <w:t xml:space="preserve">0.600 (±0.019)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  <w:tc>
          <w:tcPr/>
          <w:p>
            <w:pPr>
              <w:pStyle w:val="Compact"/>
            </w:pPr>
            <w:r>
              <w:t xml:space="preserve">[1.22, 1.64]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[0.95, 1.24]</w:t>
            </w:r>
          </w:p>
        </w:tc>
        <w:tc>
          <w:tcPr/>
          <w:p>
            <w:pPr>
              <w:pStyle w:val="Compact"/>
            </w:pPr>
            <w:r>
              <w:t xml:space="preserve">.238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L4: + Pre-milestone volume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[0.46, 0.80]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0.751</w:t>
            </w:r>
            <w:r>
              <w:t xml:space="preserve"> </w:t>
            </w:r>
            <w:r>
              <w:t xml:space="preserve">(±0.026)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[0.96, 1.30]</w:t>
            </w:r>
          </w:p>
        </w:tc>
        <w:tc>
          <w:tcPr/>
          <w:p>
            <w:pPr>
              <w:pStyle w:val="Compact"/>
            </w:pPr>
            <w:r>
              <w:t xml:space="preserve">.144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[1.17, 1.57]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[2.08, 2.76]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Logistic regression for binary active senior status (≥2 registered results in any year at age 20+). Predictors are observed during the baseline window (ages 13–14) only. Pre-milestone volume is the sum of distinct meets attended at ages 13 and 14. Continuous covariates are z-standardized so ORs reflect per-SD effects. Cross-validated AUC uses 5-fold stratified resampling. The pre-milestone volume coefficient is the dominant single-step gain (AUC 0.600 → 0.751). HHI becomes significant once volume is entered (mutual adjustment); the direction indicates that higher concentration in fewer event categories is associated with higher retention odds (see also Discussion 4.6).</w:t>
      </w:r>
    </w:p>
    <w:p>
      <w:r>
        <w:pict>
          <v:rect style="width:0;height:1.5pt" o:hralign="center" o:hrstd="t" o:hr="t"/>
        </w:pict>
      </w:r>
    </w:p>
    <w:bookmarkEnd w:id="11"/>
    <w:bookmarkStart w:id="12" w:name="Xead665dc21eb92f77ea82cce847e701a62b1bef"/>
    <w:p>
      <w:pPr>
        <w:pStyle w:val="Heading2"/>
      </w:pPr>
      <w:r>
        <w:t xml:space="preserve">Table 4. Pull-back versus baseline heterogeneity: volume level and within-athlete change</w:t>
      </w:r>
    </w:p>
    <w:p>
      <w:pPr>
        <w:pStyle w:val="FirstParagraph"/>
      </w:pPr>
      <w:r>
        <w:t xml:space="preserve">Athletes still active (≥1 result) at age 14: 1,914; fitted models are complete-case on Tyrving, n = 1,549 (Tyrving missingness is concentrated among early-inactive athletes; see Supplementary Table S12).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Volume at age 14 only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[0.46, 0.81]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[0.96, 1.30]</w:t>
            </w:r>
          </w:p>
        </w:tc>
        <w:tc>
          <w:tcPr/>
          <w:p>
            <w:pPr>
              <w:pStyle w:val="Compact"/>
            </w:pPr>
            <w:r>
              <w:t xml:space="preserve">.167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at age 14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[1.94, 2.57]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+ Volume change 14→15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[0.44, 0.81]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[0.86, 1.19]</w:t>
            </w:r>
          </w:p>
        </w:tc>
        <w:tc>
          <w:tcPr/>
          <w:p>
            <w:pPr>
              <w:pStyle w:val="Compact"/>
            </w:pPr>
            <w:r>
              <w:t xml:space="preserve">.882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at age 14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[2.37, 3.28]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change 14→15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[2.10, 2.83]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Pseudo-</w:t>
      </w:r>
      <w:r>
        <w:rPr>
          <w:i/>
          <w:iCs/>
        </w:rPr>
        <w:t xml:space="preserve">R</w:t>
      </w:r>
      <w:r>
        <w:t xml:space="preserve">² rose from 0.113 (M1) to 0.227 (M2): within-athlete change adds substantial information conditional on baseline level. A one-SD greater decline from age 14 to age 15 was associated with 2.4-times lower retention odds, conditional on level at age 14. Both baseline level and within-athlete pull-back contribute substantially and independently.</w:t>
      </w:r>
    </w:p>
    <w:p>
      <w:r>
        <w:pict>
          <v:rect style="width:0;height:1.5pt" o:hralign="center" o:hrstd="t" o:hr="t"/>
        </w:pict>
      </w:r>
    </w:p>
    <w:bookmarkEnd w:id="12"/>
    <w:bookmarkStart w:id="13" w:name="X26906ff415d5e711796d5b4eb2458551a966eca"/>
    <w:p>
      <w:pPr>
        <w:pStyle w:val="Heading2"/>
      </w:pPr>
      <w:r>
        <w:t xml:space="preserve">Table 5. Time-varying hazard ratios (post-baseline Cox specification, period-specific)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Years 0–3 since baseline (approx. ages 13–17)</w:t>
            </w:r>
          </w:p>
        </w:tc>
        <w:tc>
          <w:tcPr/>
          <w:p>
            <w:pPr>
              <w:pStyle w:val="Compact"/>
            </w:pPr>
            <w:r>
              <w:t xml:space="preserve">Years 3–6 (approx. ages 16–20)</w:t>
            </w:r>
          </w:p>
        </w:tc>
        <w:tc>
          <w:tcPr/>
          <w:p>
            <w:pPr>
              <w:pStyle w:val="Compact"/>
            </w:pPr>
            <w:r>
              <w:t xml:space="preserve">Years 6+ (approx. ages 19+)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at age 15–16 (per SD)</w:t>
            </w:r>
          </w:p>
        </w:tc>
        <w:tc>
          <w:tcPr/>
          <w:p>
            <w:pPr>
              <w:pStyle w:val="Compact"/>
            </w:pPr>
            <w:r>
              <w:t xml:space="preserve">0.14 [0.11, 0.16]</w:t>
            </w:r>
          </w:p>
        </w:tc>
        <w:tc>
          <w:tcPr/>
          <w:p>
            <w:pPr>
              <w:pStyle w:val="Compact"/>
            </w:pPr>
            <w:r>
              <w:t xml:space="preserve">0.69 [0.60, 0.79]</w:t>
            </w:r>
          </w:p>
        </w:tc>
        <w:tc>
          <w:tcPr/>
          <w:p>
            <w:pPr>
              <w:pStyle w:val="Compact"/>
            </w:pPr>
            <w:r>
              <w:t xml:space="preserve">0.96 [0.77, 1.19]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 (count)</w:t>
            </w:r>
          </w:p>
        </w:tc>
        <w:tc>
          <w:tcPr/>
          <w:p>
            <w:pPr>
              <w:pStyle w:val="Compact"/>
            </w:pPr>
            <w:r>
              <w:t xml:space="preserve">0.61 [0.55, 0.69]</w:t>
            </w:r>
          </w:p>
        </w:tc>
        <w:tc>
          <w:tcPr/>
          <w:p>
            <w:pPr>
              <w:pStyle w:val="Compact"/>
            </w:pPr>
            <w:r>
              <w:t xml:space="preserve">0.88 [0.79, 0.99]</w:t>
            </w:r>
          </w:p>
        </w:tc>
        <w:tc>
          <w:tcPr/>
          <w:p>
            <w:pPr>
              <w:pStyle w:val="Compact"/>
            </w:pPr>
            <w:r>
              <w:t xml:space="preserve">0.97 [0.78, 1.21]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1.07 [0.99, 1.15]</w:t>
            </w:r>
          </w:p>
        </w:tc>
        <w:tc>
          <w:tcPr/>
          <w:p>
            <w:pPr>
              <w:pStyle w:val="Compact"/>
            </w:pPr>
            <w:r>
              <w:t xml:space="preserve">0.92 [0.84, 1.01]</w:t>
            </w:r>
          </w:p>
        </w:tc>
        <w:tc>
          <w:tcPr/>
          <w:p>
            <w:pPr>
              <w:pStyle w:val="Compact"/>
            </w:pPr>
            <w:r>
              <w:t xml:space="preserve">0.94 [0.78, 1.13]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0.97 [0.91, 1.05]</w:t>
            </w:r>
          </w:p>
        </w:tc>
        <w:tc>
          <w:tcPr/>
          <w:p>
            <w:pPr>
              <w:pStyle w:val="Compact"/>
            </w:pPr>
            <w:r>
              <w:t xml:space="preserve">0.93 [0.85, 1.02]</w:t>
            </w:r>
          </w:p>
        </w:tc>
        <w:tc>
          <w:tcPr/>
          <w:p>
            <w:pPr>
              <w:pStyle w:val="Compact"/>
            </w:pPr>
            <w:r>
              <w:t xml:space="preserve">1.02 [0.85, 1.21]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1.16 [1.02, 1.31]</w:t>
            </w:r>
          </w:p>
        </w:tc>
        <w:tc>
          <w:tcPr/>
          <w:p>
            <w:pPr>
              <w:pStyle w:val="Compact"/>
            </w:pPr>
            <w:r>
              <w:t xml:space="preserve">1.06 [0.91, 1.23]</w:t>
            </w:r>
          </w:p>
        </w:tc>
        <w:tc>
          <w:tcPr/>
          <w:p>
            <w:pPr>
              <w:pStyle w:val="Compact"/>
            </w:pPr>
            <w:r>
              <w:t xml:space="preserve">1.09 [0.85, 1.39]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at risk in interval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669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in interval</w:t>
            </w:r>
          </w:p>
        </w:tc>
        <w:tc>
          <w:tcPr/>
          <w:p>
            <w:pPr>
              <w:pStyle w:val="Compact"/>
            </w:pPr>
            <w:r>
              <w:t xml:space="preserve">1,035</w:t>
            </w:r>
          </w:p>
        </w:tc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C-index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Period-specific Cox estimates from the post-baseline specification with covariates measured at ages 15–16 and ≤17. The early-window HR for ages-15–16 volume partly reflects operational overlap between predictor and outcome (low milestone volume is mechanical for athletes who drop out before age 15); this estimate should be read as descriptive of the time-varying association rather than as an independent prospective effect. Substantively, the protective association attenuates across follow-up, consistent with a proximal disengagement-marker interpretation.</w:t>
      </w:r>
    </w:p>
    <w:p>
      <w:r>
        <w:pict>
          <v:rect style="width:0;height:1.5pt" o:hralign="center" o:hrstd="t" o:hr="t"/>
        </w:pict>
      </w:r>
    </w:p>
    <w:bookmarkEnd w:id="13"/>
    <w:bookmarkStart w:id="14" w:name="Xb1aa18e3395192ff7ac564cba097915b7cb4ac8"/>
    <w:p>
      <w:pPr>
        <w:pStyle w:val="Heading2"/>
      </w:pPr>
      <w:r>
        <w:t xml:space="preserve">Table 6. Prospective early-warning thresholds (pre-milestone volume, ages 13–14)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 (flag if vol &lt;)</w:t>
            </w:r>
          </w:p>
        </w:tc>
        <w:tc>
          <w:tcPr/>
          <w:p>
            <w:pPr>
              <w:pStyle w:val="Compact"/>
            </w:pPr>
            <w:r>
              <w:t xml:space="preserve">Flagged %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PPV</w:t>
            </w:r>
          </w:p>
        </w:tc>
        <w:tc>
          <w:tcPr/>
          <w:p>
            <w:pPr>
              <w:pStyle w:val="Compact"/>
            </w:pPr>
            <w:r>
              <w:t xml:space="preserve">NPV</w:t>
            </w:r>
          </w:p>
        </w:tc>
        <w:tc>
          <w:tcPr/>
          <w:p>
            <w:pPr>
              <w:pStyle w:val="Compact"/>
            </w:pPr>
            <w:r>
              <w:t xml:space="preserve">Senior retention, flagged</w:t>
            </w:r>
          </w:p>
        </w:tc>
        <w:tc>
          <w:tcPr/>
          <w:p>
            <w:pPr>
              <w:pStyle w:val="Compact"/>
            </w:pPr>
            <w:r>
              <w:t xml:space="preserve">Senior retention, unflagged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meets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0.10 [0.09, 0.12]</w:t>
            </w:r>
          </w:p>
        </w:tc>
        <w:tc>
          <w:tcPr/>
          <w:p>
            <w:pPr>
              <w:pStyle w:val="Compact"/>
            </w:pPr>
            <w:r>
              <w:t xml:space="preserve">0.96 [0.94, 0.98]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</w:t>
            </w:r>
            <w:r>
              <w:t xml:space="preserve"> </w:t>
            </w:r>
            <w:r>
              <w:t xml:space="preserve">[0.89, 0.96]</w:t>
            </w:r>
          </w:p>
        </w:tc>
        <w:tc>
          <w:tcPr/>
          <w:p>
            <w:pPr>
              <w:pStyle w:val="Compact"/>
            </w:pPr>
            <w:r>
              <w:t xml:space="preserve">0.17 [0.16, 0.19]</w:t>
            </w:r>
          </w:p>
        </w:tc>
        <w:tc>
          <w:tcPr/>
          <w:p>
            <w:pPr>
              <w:pStyle w:val="Compact"/>
            </w:pPr>
            <w:r>
              <w:t xml:space="preserve">7.1% [3.6, 11.3]</w:t>
            </w:r>
          </w:p>
        </w:tc>
        <w:tc>
          <w:tcPr/>
          <w:p>
            <w:pPr>
              <w:pStyle w:val="Compact"/>
            </w:pPr>
            <w:r>
              <w:t xml:space="preserve">17.3% [15.7, 19.1]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meets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0.22 [0.20, 0.24]</w:t>
            </w:r>
          </w:p>
        </w:tc>
        <w:tc>
          <w:tcPr/>
          <w:p>
            <w:pPr>
              <w:pStyle w:val="Compact"/>
            </w:pPr>
            <w:r>
              <w:t xml:space="preserve">0.93 [0.90, 0.96]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  <w:r>
              <w:t xml:space="preserve"> </w:t>
            </w:r>
            <w:r>
              <w:t xml:space="preserve">[0.92, 0.96]</w:t>
            </w:r>
          </w:p>
        </w:tc>
        <w:tc>
          <w:tcPr/>
          <w:p>
            <w:pPr>
              <w:pStyle w:val="Compact"/>
            </w:pPr>
            <w:r>
              <w:t xml:space="preserve">0.19 [0.17, 0.21]</w:t>
            </w:r>
          </w:p>
        </w:tc>
        <w:tc>
          <w:tcPr/>
          <w:p>
            <w:pPr>
              <w:pStyle w:val="Compact"/>
            </w:pPr>
            <w:r>
              <w:t xml:space="preserve">5.7% [3.6, 7.9]</w:t>
            </w:r>
          </w:p>
        </w:tc>
        <w:tc>
          <w:tcPr/>
          <w:p>
            <w:pPr>
              <w:pStyle w:val="Compact"/>
            </w:pPr>
            <w:r>
              <w:t xml:space="preserve">19.0% [17.2, 21.0]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meets</w:t>
            </w:r>
          </w:p>
        </w:tc>
        <w:tc>
          <w:tcPr/>
          <w:p>
            <w:pPr>
              <w:pStyle w:val="Compact"/>
            </w:pPr>
            <w:r>
              <w:t xml:space="preserve">26.4</w:t>
            </w:r>
          </w:p>
        </w:tc>
        <w:tc>
          <w:tcPr/>
          <w:p>
            <w:pPr>
              <w:pStyle w:val="Compact"/>
            </w:pPr>
            <w:r>
              <w:t xml:space="preserve">0.30 [0.28, 0.32]</w:t>
            </w:r>
          </w:p>
        </w:tc>
        <w:tc>
          <w:tcPr/>
          <w:p>
            <w:pPr>
              <w:pStyle w:val="Compact"/>
            </w:pPr>
            <w:r>
              <w:t xml:space="preserve">0.91 [0.88, 0.94]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  <w:r>
              <w:t xml:space="preserve"> </w:t>
            </w:r>
            <w:r>
              <w:t xml:space="preserve">[0.92, 0.96]</w:t>
            </w:r>
          </w:p>
        </w:tc>
        <w:tc>
          <w:tcPr/>
          <w:p>
            <w:pPr>
              <w:pStyle w:val="Compact"/>
            </w:pPr>
            <w:r>
              <w:t xml:space="preserve">0.20 [0.18, 0.22]</w:t>
            </w:r>
          </w:p>
        </w:tc>
        <w:tc>
          <w:tcPr/>
          <w:p>
            <w:pPr>
              <w:pStyle w:val="Compact"/>
            </w:pPr>
            <w:r>
              <w:t xml:space="preserve">5.7% [3.9, 7.7]</w:t>
            </w:r>
          </w:p>
        </w:tc>
        <w:tc>
          <w:tcPr/>
          <w:p>
            <w:pPr>
              <w:pStyle w:val="Compact"/>
            </w:pPr>
            <w:r>
              <w:t xml:space="preserve">20.2% [18.3, 22.2]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meets</w:t>
            </w:r>
          </w:p>
        </w:tc>
        <w:tc>
          <w:tcPr/>
          <w:p>
            <w:pPr>
              <w:pStyle w:val="Compact"/>
            </w:pPr>
            <w:r>
              <w:t xml:space="preserve">43.1</w:t>
            </w:r>
          </w:p>
        </w:tc>
        <w:tc>
          <w:tcPr/>
          <w:p>
            <w:pPr>
              <w:pStyle w:val="Compact"/>
            </w:pPr>
            <w:r>
              <w:t xml:space="preserve">0.48 [0.46, 0.50]</w:t>
            </w:r>
          </w:p>
        </w:tc>
        <w:tc>
          <w:tcPr/>
          <w:p>
            <w:pPr>
              <w:pStyle w:val="Compact"/>
            </w:pPr>
            <w:r>
              <w:t xml:space="preserve">0.82 [0.77, 0.85]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</w:t>
            </w:r>
            <w:r>
              <w:t xml:space="preserve"> </w:t>
            </w:r>
            <w:r>
              <w:t xml:space="preserve">[0.91, 0.95]</w:t>
            </w:r>
          </w:p>
        </w:tc>
        <w:tc>
          <w:tcPr/>
          <w:p>
            <w:pPr>
              <w:pStyle w:val="Compact"/>
            </w:pPr>
            <w:r>
              <w:t xml:space="preserve">0.24 [0.21, 0.26]</w:t>
            </w:r>
          </w:p>
        </w:tc>
        <w:tc>
          <w:tcPr/>
          <w:p>
            <w:pPr>
              <w:pStyle w:val="Compact"/>
            </w:pPr>
            <w:r>
              <w:t xml:space="preserve">7.0% [5.4, 8.7]</w:t>
            </w:r>
          </w:p>
        </w:tc>
        <w:tc>
          <w:tcPr/>
          <w:p>
            <w:pPr>
              <w:pStyle w:val="Compact"/>
            </w:pPr>
            <w:r>
              <w:t xml:space="preserve">23.5% [21.1, 25.9]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Classification performance of pre-milestone (ages 13–14) competition volume as a prospective early-warning indicator, applicable at the end of an athlete’s age-14 season, before the qualification window opens. All metrics are computed on one denominator (full cohort, n = 2,123); brackets are 2,000-replicate bootstrap 95% CIs. PPV is the proportion of flagged athletes who subsequently failed to retain senior activity. The final two columns give the absolute retention contrast: at the &lt; 10 threshold, 5.7% among flagged vs. 20.2% among unflagged athletes (a 3.5-fold difference). The high PPV partly reflects the population’s 84% non-retention base rate (the threshold improves precision by ~10 percentage points over base-rate prediction), and the NPV of ≈ 0.20 means unflagged athletes are not</w:t>
      </w:r>
      <w:r>
        <w:t xml:space="preserve"> </w:t>
      </w:r>
      <w:r>
        <w:t xml:space="preserve">“safe”</w:t>
      </w:r>
      <w:r>
        <w:t xml:space="preserve">: roughly four in five of them also fail to retain. Calibration of the underlying model is reported in Supplementary Table S23.</w:t>
      </w:r>
    </w:p>
    <w:p>
      <w:r>
        <w:pict>
          <v:rect style="width:0;height:1.5pt" o:hralign="center" o:hrstd="t" o:hr="t"/>
        </w:pict>
      </w:r>
    </w:p>
    <w:bookmarkEnd w:id="14"/>
    <w:bookmarkStart w:id="15" w:name="Xe9b21a988fbcae595b6ca55e69894fe6653a1ba"/>
    <w:p>
      <w:pPr>
        <w:pStyle w:val="Heading2"/>
      </w:pPr>
      <w:r>
        <w:t xml:space="preserve">Table 7. Cross-cohort replication of the primary L4 logistic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1998–2000</w:t>
            </w:r>
          </w:p>
        </w:tc>
        <w:tc>
          <w:tcPr/>
          <w:p>
            <w:pPr>
              <w:pStyle w:val="Compact"/>
            </w:pPr>
            <w:r>
              <w:t xml:space="preserve">1,065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[0.34, 0.74]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[0.94, 1.39]</w:t>
            </w:r>
          </w:p>
        </w:tc>
        <w:tc>
          <w:tcPr/>
          <w:p>
            <w:pPr>
              <w:pStyle w:val="Compact"/>
            </w:pPr>
            <w:r>
              <w:t xml:space="preserve">.179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[1.03, 1.51]</w:t>
            </w:r>
          </w:p>
        </w:tc>
        <w:tc>
          <w:tcPr/>
          <w:p>
            <w:pPr>
              <w:pStyle w:val="Compact"/>
            </w:pPr>
            <w:r>
              <w:t xml:space="preserve">.027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[1.86, 2.64]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2001–2002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[0.55, 1.22]</w:t>
            </w:r>
          </w:p>
        </w:tc>
        <w:tc>
          <w:tcPr/>
          <w:p>
            <w:pPr>
              <w:pStyle w:val="Compact"/>
            </w:pPr>
            <w:r>
              <w:t xml:space="preserve">.333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[0.84, 1.32]</w:t>
            </w:r>
          </w:p>
        </w:tc>
        <w:tc>
          <w:tcPr/>
          <w:p>
            <w:pPr>
              <w:pStyle w:val="Compact"/>
            </w:pPr>
            <w:r>
              <w:t xml:space="preserve">.658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[1.25, 1.99]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[2.17, 3.58]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The primary baseline-only logistic model re-estimated separately within each birth-year cohort. Pre-milestone volume effect replicates in both cohorts at similar magnitude. The cohort difference in the female coefficient parallels the broader sex-effect pattern discussed in §4.5; HHI is significant in both cohorts in the same direction (higher concentration = higher retention).</w:t>
      </w:r>
    </w:p>
    <w:p>
      <w:r>
        <w:pict>
          <v:rect style="width:0;height:1.5pt" o:hralign="center" o:hrstd="t" o:hr="t"/>
        </w:pic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2026-09-03T07:47:21Z</dcterms:created>
  <dcterms:modified xsi:type="dcterms:W3CDTF">2026-09-03T07:47:21Z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