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f3effad2eaa83c7207be569d73957223d2e30a"/>
    <w:p>
      <w:pPr>
        <w:pStyle w:val="Heading2"/>
      </w:pPr>
      <w:r>
        <w:t xml:space="preserve">Table 1. Cohort characteristics by birth-year cohort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Cohort A (1998–2000)</w:t>
            </w:r>
          </w:p>
        </w:tc>
        <w:tc>
          <w:tcPr/>
          <w:p>
            <w:pPr>
              <w:pStyle w:val="Compact"/>
            </w:pPr>
            <w:r>
              <w:t xml:space="preserve">Cohort B (2001–2002)</w:t>
            </w:r>
          </w:p>
        </w:tc>
        <w:tc>
          <w:tcPr/>
          <w:p>
            <w:pPr>
              <w:pStyle w:val="Compact"/>
            </w:pPr>
            <w:r>
              <w:t xml:space="preserve">All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1,301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2,123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 (n)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(n)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1,103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unknown (n)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career length (years)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at age 17 (%)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41.6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 active at age 20+ (%)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active in 2024 or later (%)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Tyrving best at baseline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total meets, ages 13–14 (pre-milestone volume)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“Active at age 17”</w:t>
      </w:r>
      <w:r>
        <w:t xml:space="preserve"> </w:t>
      </w:r>
      <w:r>
        <w:t xml:space="preserve">indicates ≥2 registered competition results in the athlete’s age-17 calendar year;</w:t>
      </w:r>
      <w:r>
        <w:t xml:space="preserve"> </w:t>
      </w:r>
      <w:r>
        <w:t xml:space="preserve">“Ever active at age 20+”</w:t>
      </w:r>
      <w:r>
        <w:t xml:space="preserve"> </w:t>
      </w:r>
      <w:r>
        <w:t xml:space="preserve">is the outcome prevalence (≥2 results in any calendar year at age 20 or later). Tyrving points = the Norwegian Athletics Federation’s age-norm score, where 1,000 corresponds to the published reference performance for that event × sex × age combination.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