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X9a6c38783434298188d0179517197b4d55f1fe6"/>
    <w:p>
      <w:pPr>
        <w:pStyle w:val="Heading2"/>
      </w:pPr>
      <w:r>
        <w:t xml:space="preserve">Table 2. Competition volume trajectory by senior-retention status (median competitions per year and IQR)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Group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Age 13</w:t>
            </w:r>
          </w:p>
        </w:tc>
        <w:tc>
          <w:tcPr/>
          <w:p>
            <w:pPr>
              <w:pStyle w:val="Compact"/>
            </w:pPr>
            <w:r>
              <w:t xml:space="preserve">Age 14</w:t>
            </w:r>
          </w:p>
        </w:tc>
        <w:tc>
          <w:tcPr/>
          <w:p>
            <w:pPr>
              <w:pStyle w:val="Compact"/>
            </w:pPr>
            <w:r>
              <w:t xml:space="preserve">Age 15</w:t>
            </w:r>
          </w:p>
        </w:tc>
        <w:tc>
          <w:tcPr/>
          <w:p>
            <w:pPr>
              <w:pStyle w:val="Compact"/>
            </w:pPr>
            <w:r>
              <w:t xml:space="preserve">Age 16</w:t>
            </w:r>
          </w:p>
        </w:tc>
        <w:tc>
          <w:tcPr/>
          <w:p>
            <w:pPr>
              <w:pStyle w:val="Compact"/>
            </w:pPr>
            <w:r>
              <w:t xml:space="preserve">Age 17</w:t>
            </w:r>
          </w:p>
        </w:tc>
        <w:tc>
          <w:tcPr/>
          <w:p>
            <w:pPr>
              <w:pStyle w:val="Compact"/>
            </w:pPr>
            <w:r>
              <w:t xml:space="preserve">Age 18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Senior retainers (active age ≥20)</w:t>
            </w:r>
          </w:p>
        </w:tc>
        <w:tc>
          <w:tcPr/>
          <w:p>
            <w:pPr>
              <w:pStyle w:val="Compact"/>
            </w:pPr>
            <w:r>
              <w:t xml:space="preserve">348</w:t>
            </w:r>
          </w:p>
        </w:tc>
        <w:tc>
          <w:tcPr/>
          <w:p>
            <w:pPr>
              <w:pStyle w:val="Compact"/>
            </w:pPr>
            <w:r>
              <w:t xml:space="preserve">13 [6–21]</w:t>
            </w:r>
          </w:p>
        </w:tc>
        <w:tc>
          <w:tcPr/>
          <w:p>
            <w:pPr>
              <w:pStyle w:val="Compact"/>
            </w:pPr>
            <w:r>
              <w:t xml:space="preserve">17 [10–25]</w:t>
            </w:r>
          </w:p>
        </w:tc>
        <w:tc>
          <w:tcPr/>
          <w:p>
            <w:pPr>
              <w:pStyle w:val="Compact"/>
            </w:pPr>
            <w:r>
              <w:t xml:space="preserve">19 [11–27]</w:t>
            </w:r>
          </w:p>
        </w:tc>
        <w:tc>
          <w:tcPr/>
          <w:p>
            <w:pPr>
              <w:pStyle w:val="Compact"/>
            </w:pPr>
            <w:r>
              <w:t xml:space="preserve">18 [10–26]</w:t>
            </w:r>
          </w:p>
        </w:tc>
        <w:tc>
          <w:tcPr/>
          <w:p>
            <w:pPr>
              <w:pStyle w:val="Compact"/>
            </w:pPr>
            <w:r>
              <w:t xml:space="preserve">17 [10–24]</w:t>
            </w:r>
          </w:p>
        </w:tc>
        <w:tc>
          <w:tcPr/>
          <w:p>
            <w:pPr>
              <w:pStyle w:val="Compact"/>
            </w:pPr>
            <w:r>
              <w:t xml:space="preserve">14 [7–20]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Dropouts (last active age &lt;20)</w:t>
            </w:r>
          </w:p>
        </w:tc>
        <w:tc>
          <w:tcPr/>
          <w:p>
            <w:pPr>
              <w:pStyle w:val="Compact"/>
            </w:pPr>
            <w:r>
              <w:t xml:space="preserve">1,775</w:t>
            </w:r>
          </w:p>
        </w:tc>
        <w:tc>
          <w:tcPr/>
          <w:p>
            <w:pPr>
              <w:pStyle w:val="Compact"/>
            </w:pPr>
            <w:r>
              <w:t xml:space="preserve">8 [4–13]</w:t>
            </w:r>
          </w:p>
        </w:tc>
        <w:tc>
          <w:tcPr/>
          <w:p>
            <w:pPr>
              <w:pStyle w:val="Compact"/>
            </w:pPr>
            <w:r>
              <w:t xml:space="preserve">8 [3–14]</w:t>
            </w:r>
          </w:p>
        </w:tc>
        <w:tc>
          <w:tcPr/>
          <w:p>
            <w:pPr>
              <w:pStyle w:val="Compact"/>
            </w:pPr>
            <w:r>
              <w:t xml:space="preserve">3 [0–11]</w:t>
            </w:r>
          </w:p>
        </w:tc>
        <w:tc>
          <w:tcPr/>
          <w:p>
            <w:pPr>
              <w:pStyle w:val="Compact"/>
            </w:pPr>
            <w:r>
              <w:t xml:space="preserve">0 [0–7]</w:t>
            </w:r>
          </w:p>
        </w:tc>
        <w:tc>
          <w:tcPr/>
          <w:p>
            <w:pPr>
              <w:pStyle w:val="Compact"/>
            </w:pPr>
            <w:r>
              <w:t xml:space="preserve">0 [0–2]</w:t>
            </w:r>
          </w:p>
        </w:tc>
        <w:tc>
          <w:tcPr/>
          <w:p>
            <w:pPr>
              <w:pStyle w:val="Compact"/>
            </w:pPr>
            <w:r>
              <w:t xml:space="preserve">0 [0–0]</w:t>
            </w:r>
          </w:p>
        </w:tc>
      </w:tr>
    </w:tbl>
    <w:p>
      <w:pPr>
        <w:pStyle w:val="BodyText"/>
      </w:pPr>
      <w:r>
        <w:rPr>
          <w:i/>
          <w:iCs/>
        </w:rPr>
        <w:t xml:space="preserve">Note.</w:t>
      </w:r>
      <w:r>
        <w:t xml:space="preserve"> </w:t>
      </w:r>
      <w:r>
        <w:t xml:space="preserve">Values are median number of meets per year [IQR]. Future retainers and future dropouts already differ at ages 13–14; the gap widens further across the age-14-to-15 transition.</w:t>
      </w:r>
    </w:p>
    <w:p>
      <w:r>
        <w:pict>
          <v:rect style="width:0;height:1.5pt" o:hralign="center" o:hrstd="t" o:hr="t"/>
        </w:pic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2026-09-03T07:55:00Z</dcterms:created>
  <dcterms:modified xsi:type="dcterms:W3CDTF">2026-09-03T07:55:00Z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