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26906ff415d5e711796d5b4eb2458551a966eca"/>
    <w:p>
      <w:pPr>
        <w:pStyle w:val="Heading2"/>
      </w:pPr>
      <w:r>
        <w:t xml:space="preserve">Table 5. Time-varying hazard ratios (post-baseline Cox specification, period-specific)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Covariate</w:t>
            </w:r>
          </w:p>
        </w:tc>
        <w:tc>
          <w:tcPr/>
          <w:p>
            <w:pPr>
              <w:pStyle w:val="Compact"/>
            </w:pPr>
            <w:r>
              <w:t xml:space="preserve">Years 0–3 since baseline (approx. ages 13–17)</w:t>
            </w:r>
          </w:p>
        </w:tc>
        <w:tc>
          <w:tcPr/>
          <w:p>
            <w:pPr>
              <w:pStyle w:val="Compact"/>
            </w:pPr>
            <w:r>
              <w:t xml:space="preserve">Years 3–6 (approx. ages 16–20)</w:t>
            </w:r>
          </w:p>
        </w:tc>
        <w:tc>
          <w:tcPr/>
          <w:p>
            <w:pPr>
              <w:pStyle w:val="Compact"/>
            </w:pPr>
            <w:r>
              <w:t xml:space="preserve">Years 6+ (approx. ages 19+)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at age 15–16 (per SD)</w:t>
            </w:r>
          </w:p>
        </w:tc>
        <w:tc>
          <w:tcPr/>
          <w:p>
            <w:pPr>
              <w:pStyle w:val="Compact"/>
            </w:pPr>
            <w:r>
              <w:t xml:space="preserve">0.14 [0.11, 0.16]</w:t>
            </w:r>
          </w:p>
        </w:tc>
        <w:tc>
          <w:tcPr/>
          <w:p>
            <w:pPr>
              <w:pStyle w:val="Compact"/>
            </w:pPr>
            <w:r>
              <w:t xml:space="preserve">0.69 [0.60, 0.79]</w:t>
            </w:r>
          </w:p>
        </w:tc>
        <w:tc>
          <w:tcPr/>
          <w:p>
            <w:pPr>
              <w:pStyle w:val="Compact"/>
            </w:pPr>
            <w:r>
              <w:t xml:space="preserve">0.96 [0.77, 1.19]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Championship types (count)</w:t>
            </w:r>
          </w:p>
        </w:tc>
        <w:tc>
          <w:tcPr/>
          <w:p>
            <w:pPr>
              <w:pStyle w:val="Compact"/>
            </w:pPr>
            <w:r>
              <w:t xml:space="preserve">0.61 [0.55, 0.69]</w:t>
            </w:r>
          </w:p>
        </w:tc>
        <w:tc>
          <w:tcPr/>
          <w:p>
            <w:pPr>
              <w:pStyle w:val="Compact"/>
            </w:pPr>
            <w:r>
              <w:t xml:space="preserve">0.88 [0.79, 0.99]</w:t>
            </w:r>
          </w:p>
        </w:tc>
        <w:tc>
          <w:tcPr/>
          <w:p>
            <w:pPr>
              <w:pStyle w:val="Compact"/>
            </w:pPr>
            <w:r>
              <w:t xml:space="preserve">0.97 [0.78, 1.21]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Tyrving (z)</w:t>
            </w:r>
          </w:p>
        </w:tc>
        <w:tc>
          <w:tcPr/>
          <w:p>
            <w:pPr>
              <w:pStyle w:val="Compact"/>
            </w:pPr>
            <w:r>
              <w:t xml:space="preserve">1.07 [0.99, 1.15]</w:t>
            </w:r>
          </w:p>
        </w:tc>
        <w:tc>
          <w:tcPr/>
          <w:p>
            <w:pPr>
              <w:pStyle w:val="Compact"/>
            </w:pPr>
            <w:r>
              <w:t xml:space="preserve">0.92 [0.84, 1.01]</w:t>
            </w:r>
          </w:p>
        </w:tc>
        <w:tc>
          <w:tcPr/>
          <w:p>
            <w:pPr>
              <w:pStyle w:val="Compact"/>
            </w:pPr>
            <w:r>
              <w:t xml:space="preserve">0.94 [0.78, 1.13]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HHI early (z)</w:t>
            </w:r>
          </w:p>
        </w:tc>
        <w:tc>
          <w:tcPr/>
          <w:p>
            <w:pPr>
              <w:pStyle w:val="Compact"/>
            </w:pPr>
            <w:r>
              <w:t xml:space="preserve">0.97 [0.91, 1.05]</w:t>
            </w:r>
          </w:p>
        </w:tc>
        <w:tc>
          <w:tcPr/>
          <w:p>
            <w:pPr>
              <w:pStyle w:val="Compact"/>
            </w:pPr>
            <w:r>
              <w:t xml:space="preserve">0.93 [0.85, 1.02]</w:t>
            </w:r>
          </w:p>
        </w:tc>
        <w:tc>
          <w:tcPr/>
          <w:p>
            <w:pPr>
              <w:pStyle w:val="Compact"/>
            </w:pPr>
            <w:r>
              <w:t xml:space="preserve">1.02 [0.85, 1.21]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/>
          <w:p>
            <w:pPr>
              <w:pStyle w:val="Compact"/>
            </w:pPr>
            <w:r>
              <w:t xml:space="preserve">1.16 [1.02, 1.31]</w:t>
            </w:r>
          </w:p>
        </w:tc>
        <w:tc>
          <w:tcPr/>
          <w:p>
            <w:pPr>
              <w:pStyle w:val="Compact"/>
            </w:pPr>
            <w:r>
              <w:t xml:space="preserve">1.06 [0.91, 1.23]</w:t>
            </w:r>
          </w:p>
        </w:tc>
        <w:tc>
          <w:tcPr/>
          <w:p>
            <w:pPr>
              <w:pStyle w:val="Compact"/>
            </w:pPr>
            <w:r>
              <w:t xml:space="preserve">1.09 [0.85, 1.39]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at risk in interval</w:t>
            </w:r>
          </w:p>
        </w:tc>
        <w:tc>
          <w:tcPr/>
          <w:p>
            <w:pPr>
              <w:pStyle w:val="Compact"/>
            </w:pPr>
            <w:r>
              <w:t xml:space="preserve">1,704</w:t>
            </w:r>
          </w:p>
        </w:tc>
        <w:tc>
          <w:tcPr/>
          <w:p>
            <w:pPr>
              <w:pStyle w:val="Compact"/>
            </w:pPr>
            <w:r>
              <w:t xml:space="preserve">669</w:t>
            </w:r>
          </w:p>
        </w:tc>
        <w:tc>
          <w:tcPr/>
          <w:p>
            <w:pPr>
              <w:pStyle w:val="Compact"/>
            </w:pPr>
            <w:r>
              <w:t xml:space="preserve">270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events in interval</w:t>
            </w:r>
          </w:p>
        </w:tc>
        <w:tc>
          <w:tcPr/>
          <w:p>
            <w:pPr>
              <w:pStyle w:val="Compact"/>
            </w:pPr>
            <w:r>
              <w:t xml:space="preserve">1,035</w:t>
            </w:r>
          </w:p>
        </w:tc>
        <w:tc>
          <w:tcPr/>
          <w:p>
            <w:pPr>
              <w:pStyle w:val="Compact"/>
            </w:pPr>
            <w:r>
              <w:t xml:space="preserve">399</w:t>
            </w:r>
          </w:p>
        </w:tc>
        <w:tc>
          <w:tcPr/>
          <w:p>
            <w:pPr>
              <w:pStyle w:val="Compact"/>
            </w:pPr>
            <w:r>
              <w:t xml:space="preserve">136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C-index</w:t>
            </w:r>
          </w:p>
        </w:tc>
        <w:tc>
          <w:tcPr/>
          <w:p>
            <w:pPr>
              <w:pStyle w:val="Compact"/>
            </w:pPr>
            <w:r>
              <w:t xml:space="preserve">0.894</w:t>
            </w:r>
          </w:p>
        </w:tc>
        <w:tc>
          <w:tcPr/>
          <w:p>
            <w:pPr>
              <w:pStyle w:val="Compact"/>
            </w:pPr>
            <w:r>
              <w:t xml:space="preserve">0.661</w:t>
            </w:r>
          </w:p>
        </w:tc>
        <w:tc>
          <w:tcPr/>
          <w:p>
            <w:pPr>
              <w:pStyle w:val="Compact"/>
            </w:pPr>
            <w:r>
              <w:t xml:space="preserve">0.582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Note.</w:t>
      </w:r>
      <w:r>
        <w:t xml:space="preserve"> </w:t>
      </w:r>
      <w:r>
        <w:t xml:space="preserve">Period-specific Cox estimates from the post-baseline specification with covariates measured at ages 15–16 and ≤17. The early-window HR for ages-15–16 volume partly reflects operational overlap between predictor and outcome (low milestone volume is mechanical for athletes who drop out before age 15); this estimate should be read as descriptive of the time-varying association rather than as an independent prospective effect. Substantively, the protective association attenuates across follow-up, consistent with a proximal disengagement-marker interpretation.</w:t>
      </w:r>
    </w:p>
    <w:p>
      <w:r>
        <w:pict>
          <v:rect style="width:0;height:1.5pt" o:hralign="center" o:hrstd="t" o:hr="t"/>
        </w:pic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2026-09-03T07:55:00Z</dcterms:created>
  <dcterms:modified xsi:type="dcterms:W3CDTF">2026-09-03T07:55:00Z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