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 cohorts 1998–2002), recording annual competition counts, event diversification, championship participation, and Tyrving age-norm performance through 2025 — a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was the dominant predictor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protective — opposite to the diversification literature for peak performance.</w:t>
      </w:r>
    </w:p>
    <w:p>
      <w:pPr>
        <w:pStyle w:val="BodyText"/>
      </w:pPr>
      <w:r>
        <w:rPr>
          <w:b/>
          <w:bCs/>
        </w:rPr>
        <w:t xml:space="preserve">Conclusions.</w:t>
      </w:r>
      <w:r>
        <w:t xml:space="preserve"> </w:t>
      </w:r>
      <w:r>
        <w:t xml:space="preserve">Register-based behavior at the end of the age-14 season identifies athletes at high risk of dropout (PPV ≈ 0.94 at moderate thresholds), providing a prospective tool to complement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the binary outcome</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The set of candidate predictors comprises sex, baseline Tyrving performance, Herfindahl–Hirschman event-category concentration over the first three active seasons (HHI early), and the count of distinct competition meets attended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The decision to restrict the primary predictors to the baseline window addresses two analytic concerns. First, milestone-window volume (ages 15–16) is partially overlapping with the early portion of the outcome process — an athlete who drops out before age 15 has milestone volume = 0 by construction</w:t>
      </w:r>
      <w:r>
        <w:t xml:space="preserve"> </w:t>
      </w:r>
      <w:r>
        <w:rPr>
          <w:i/>
          <w:iCs/>
        </w:rPr>
        <w:t xml:space="preserve">and</w:t>
      </w:r>
      <w:r>
        <w:t xml:space="preserve"> </w:t>
      </w:r>
      <w:r>
        <w:t xml:space="preserve">will not retain senior activity — which would inflate apparent discrimination through measurement overlap rather than prospective prediction. Second, the journal’s a-priori-power expectation maps more naturally onto a single, clearly-defined estimand than onto a sequence of stepwise time-overlapping covariates. By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For survival visualization and as a secondary effect-size representation, we modeled</w:t>
      </w:r>
      <w:r>
        <w:t xml:space="preserve"> </w:t>
      </w:r>
      <w:r>
        <w:rPr>
          <w:i/>
          <w:iCs/>
        </w:rPr>
        <w:t xml:space="preserve">time from baseline to last active season</w:t>
      </w:r>
      <w:r>
        <w:t xml:space="preserve"> </w:t>
      </w:r>
      <w:r>
        <w:t xml:space="preserve">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t>
      </w:r>
      <w:r>
        <w:t xml:space="preserve">and tied event times handled by Efron’s (1977) method (Davidson-Pilon, 2024). The primary Cox specification (Supplementary Table S16) uses the same baseline-only predictor set as the primary logistic regression. We additionally report:</w:t>
      </w:r>
    </w:p>
    <w:p>
      <w:pPr>
        <w:pStyle w:val="Compact"/>
        <w:numPr>
          <w:ilvl w:val="0"/>
          <w:numId w:val="1001"/>
        </w:numPr>
      </w:pPr>
      <w:r>
        <w:rPr>
          <w:b/>
          <w:bCs/>
        </w:rPr>
        <w:t xml:space="preserve">Landmark analysis</w:t>
      </w:r>
      <w:r>
        <w:t xml:space="preserve"> </w:t>
      </w:r>
      <w:r>
        <w:t xml:space="preserve">(van Houwelingen, 2007): restriction to athletes with at least one registered result at age 16 (n = 1,167), with follow-up measured from age 16 forward, examining whether ages-15–16 volume predicts subsequent retention among continuing athletes (Supplementary Table S8).</w:t>
      </w:r>
    </w:p>
    <w:p>
      <w:pPr>
        <w:pStyle w:val="Compact"/>
        <w:numPr>
          <w:ilvl w:val="0"/>
          <w:numId w:val="1001"/>
        </w:numPr>
      </w:pPr>
      <w:r>
        <w:rPr>
          <w:b/>
          <w:bCs/>
        </w:rPr>
        <w:t xml:space="preserve">Post-baseline Cox specification</w:t>
      </w:r>
      <w:r>
        <w:t xml:space="preserve"> </w:t>
      </w:r>
      <w:r>
        <w:t xml:space="preserve">with ages-15–16 volume and pre-age-17 championship breadth as covariates (Supplementary Table S17). Because these covariates overlap temporally with the early portion of the at-risk window, we report this specification only as a complement to the primary baseline-only model; its discriminative gain should not be interpreted as ordinary prospective prediction.</w:t>
      </w:r>
    </w:p>
    <w:p>
      <w:pPr>
        <w:pStyle w:val="FirstParagraph"/>
      </w:pPr>
      <w:r>
        <w:t xml:space="preserve">We assessed proportional hazards using Schoenfeld residuals (Grambsch &amp; Therneau, 1994) and re-estimated the model stratified on violating variables (Therneau &amp; Grambsch, 2000). For substantive effects we also computed the</w:t>
      </w:r>
      <w:r>
        <w:t xml:space="preserve"> </w:t>
      </w:r>
      <w:r>
        <w:rPr>
          <w:b/>
          <w:bCs/>
        </w:rPr>
        <w:t xml:space="preserve">E-value</w:t>
      </w:r>
      <w:r>
        <w:t xml:space="preserve"> </w:t>
      </w:r>
      <w:r>
        <w:t xml:space="preserve">(VanderWeele &amp; Ding, 2017), period-specific Cox estimates across three follow-up windows (years 0–3, 3–6, 6+), cluster-robust standard errors clustered on club name (Lin &amp; Wei, 1989), and sex-stratified subgroup Cox models. Hazard ratios are reported as descriptive associations within the observed register structure 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7"/>
    <w:bookmarkStart w:id="28" w:name="sample-size-and-detection-capacity"/>
    <w:p>
      <w:pPr>
        <w:pStyle w:val="Heading3"/>
      </w:pPr>
      <w:r>
        <w:t xml:space="preserve">2.5.5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For the secondary Cox analysis 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for a standardized covariate. (For an unstandardized binary covariate such as the sex indicator with class proportions ≈ 0.5, the corresponding minimum detectable HR is closer to 1.15.) 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is therefore well below the effect magnitudes typically reported in this literature; null findings for standardized covariates reported here should be interpreted as substantively small rather than as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Primary analyses used complete-case regression (n = 1,704 for the full model). To assess sensitivity, we re-estimated the full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To inform the practical claim that competition behavior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based on</w:t>
      </w:r>
      <w:r>
        <w:t xml:space="preserve"> </w:t>
      </w:r>
      <w:r>
        <w:rPr>
          <w:i/>
          <w:iCs/>
        </w:rPr>
        <w:t xml:space="preserve">pre-milestone</w:t>
      </w:r>
      <w:r>
        <w:t xml:space="preserve"> </w:t>
      </w:r>
      <w:r>
        <w:t xml:space="preserve">(ages 13–14) competition volume, i.e., applied at the end of an athlete’s age-14 season as a</w:t>
      </w:r>
      <w:r>
        <w:t xml:space="preserve"> </w:t>
      </w:r>
      <w:r>
        <w:rPr>
          <w:i/>
          <w:iCs/>
        </w:rPr>
        <w:t xml:space="preserve">prospective</w:t>
      </w:r>
      <w:r>
        <w:t xml:space="preserve"> </w:t>
      </w:r>
      <w:r>
        <w:t xml:space="preserve">trigger (Table 6). Because the threshold uses only data available at age 14, it is implementable in real time, before any age-15–16 outcome data exist.</w:t>
      </w:r>
    </w:p>
    <w:bookmarkEnd w:id="30"/>
    <w:bookmarkStart w:id="31" w:name="Xd388b6cfbd040dfde209d844d29e071c18a3e07"/>
    <w:p>
      <w:pPr>
        <w:pStyle w:val="Heading3"/>
      </w:pPr>
      <w:r>
        <w:t xml:space="preserve">2.5.8 Cross-cohort replication and variable importance (supplementary)</w:t>
      </w:r>
    </w:p>
    <w:p>
      <w:pPr>
        <w:pStyle w:val="FirstParagraph"/>
      </w:pPr>
      <w:r>
        <w:t xml:space="preserve">The primary L4 logistic regression and the secondary Cox specifications were re-estimated separately within Cohort A (1998–2000) and Cohort B (2001–2002). For non-parametric variable importance, we fit a random forest (Breiman, 2001) with 500 trees and maximum depth 8 to predict active senior status, with class weighting to handle outcome imbalance; variable importance is reported as the mean decrease in Gini impurity. We treat the random forest as convergent evidence for the regression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 / Supplementary Table S14).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w:t>
      </w:r>
      <w:r>
        <w:t xml:space="preserve"> </w:t>
      </w:r>
      <w:r>
        <w:t xml:space="preserve">“behavior beats performance”</w:t>
      </w:r>
      <w:r>
        <w:t xml:space="preserve"> </w:t>
      </w:r>
      <w:r>
        <w:t xml:space="preserve">compared post-baseline volume (ages 15–16) with baseline performance (ages 13–14), giving the behavioral predictor a temporal advantage. In a fully time-aligned comparison — both predictors measured during the baseline window of ages 13–14 — behavior still substantially out-predicts performance: AUC = 0.607 for sex + baseline Tyrving, AUC = 0.740 for sex + ages-13–14 volume, AUC = 0.737 for both combined (Supplementary Table S15). The performance variable adds essentially nothing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model in athletes with at least one registered result at age 16 (n = 1,167), with follow-up measured from age 16 forward (Supplementary Table S8). Competition volume across ages 15–16 remained the dominant predictor (HR = 0.60 per SD in Cox, 95% CI [0.54, 0.66], C-index = 0.74). A complementary analysis excluding athletes with vol_milestone = 0 produced HR = 0.51 (Supplementary Table S12). The Cox model fitted from baseline using post-baseline behavioral covariates is reported in Supplementary Table S17; we have not used it as the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(see Supplementary Table S17).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post-baseline Cox specification, Supplementary Table S17) was 5.16, with a corresponding lower-CI E-value of 4.70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was the dominant prospective predictor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Specialization (higher HHI in baseline events) is protective in our data, a finding that runs against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full Cox time-to-cessation analyses (Supplementary Tables S8, S16, S17)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907cacc9dc4ed31787261dbff099a7ab57dc46"/>
    <w:p>
      <w:pPr>
        <w:pStyle w:val="Heading2"/>
      </w:pPr>
      <w:r>
        <w:t xml:space="preserve">4.2 Behavior beats performance even in time-aligned comparison</w:t>
      </w:r>
    </w:p>
    <w:p>
      <w:pPr>
        <w:pStyle w:val="FirstParagraph"/>
      </w:pPr>
      <w:r>
        <w:t xml:space="preserve">A central observation is that behavior, measured by registered competition count, out-predicts performance,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essentially nothing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The choice variable is what subsequently dropout cascades from.</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behavioral trajectories we observe are consistent with two SCM-aligned dynamics: a stable enthusiastic-commitment trajectory among future retainers (rising or stable competition volume across ages 13–17) and an eroding commitment trajectory among future dropouts (declining volume across the age-14-to-15 transition). Self-determination theory and its sport applications (Ryan &amp; Deci, 2000; Vallerand, 1997, 2007; Sarrazin et al., 2002; Calvo et al., 2010; Standage, 2012) predict that athletes whose participation is sustained by well-internalized motivation persist when demands rise; the registered behavior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Wall and Côté’s (2007) characterization of investors versus samplers, and Espedalen’s (2025) related distinction between engaged enthusiasts and constrained casuals, both predict the bifurcating behavioral trajectories we observe.</w:t>
      </w:r>
    </w:p>
    <w:p>
      <w:pPr>
        <w:pStyle w:val="BodyText"/>
      </w:pPr>
      <w:r>
        <w:t xml:space="preserve">In short, the behavioral pattern we identify is what each of these accounts would predict if their hypothesized mechanisms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has consistently found that</w:t>
      </w:r>
      <w:r>
        <w:t xml:space="preserve"> </w:t>
      </w:r>
      <w:r>
        <w:rPr>
          <w:i/>
          <w:iCs/>
        </w:rPr>
        <w:t xml:space="preserve">peak performance</w:t>
      </w:r>
      <w:r>
        <w:t xml:space="preserve"> </w:t>
      </w:r>
      <w:r>
        <w:t xml:space="preserve">is supported by early multidisciplinary practice and early diversification. Our data on</w:t>
      </w:r>
      <w:r>
        <w:t xml:space="preserve"> </w:t>
      </w:r>
      <w:r>
        <w:rPr>
          <w:i/>
          <w:iCs/>
        </w:rPr>
        <w:t xml:space="preserve">retention</w:t>
      </w:r>
      <w:r>
        <w:t xml:space="preserve"> </w:t>
      </w:r>
      <w:r>
        <w:t xml:space="preserve">point in the opposite direction: higher baseline event-category concentration (i.e., specialization in fewer events) is associated with higher senior retention. The combined-cohort estimate was OR = 1.35 per SD of HHI (95% CI [1.16, 1.57]) in the primary baseline-only logistic model. The effect was present in both cohorts (Cohort A OR = 1.22; Cohort B OR = 1.58) and survived in the time-to-cessation Cox model (HR = 0.80 per SD).</w:t>
      </w:r>
    </w:p>
    <w:p>
      <w:pPr>
        <w:pStyle w:val="BodyText"/>
      </w:pPr>
      <w:r>
        <w:t xml:space="preserve">Three possible reconciliations are worth flagging. First, the constructs differ: peak performance and retention are not the same outcome, and the qualitative claim that early specialization causes burnout is largely about performance trajectories at elite levels, not about everyday participation in regional track and field. Second, in this register,</w:t>
      </w:r>
      <w:r>
        <w:t xml:space="preserve"> </w:t>
      </w:r>
      <w:r>
        <w:t xml:space="preserve">“specialization”</w:t>
      </w:r>
      <w:r>
        <w:t xml:space="preserve"> </w:t>
      </w:r>
      <w:r>
        <w:t xml:space="preserve">at ages 13–14 may capture a different latent trait than later specialization in adolescent talent-development pathways — children who train and compete primarily in one event category may simply be the ones whose family and club organization supports sustained engagement. Third, our cohort comprises a soft-selected group of already-engaged adolescents; the protective effect of specialization could be specific to retention</w:t>
      </w:r>
      <w:r>
        <w:t xml:space="preserve"> </w:t>
      </w:r>
      <w:r>
        <w:rPr>
          <w:i/>
          <w:iCs/>
        </w:rPr>
        <w:t xml:space="preserve">given engagement</w:t>
      </w:r>
      <w:r>
        <w:t xml:space="preserve"> </w:t>
      </w:r>
      <w:r>
        <w:t xml:space="preserve">and would not generalize to the broader question of whether to specialize among children weighing whether to engage at all. We frame this finding as a contrast with the established literature rather than a refutation of it — both the literature and our analysis can be correct about their respective outcomes.</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classifies eventual senior retention at AUC = 0.751 with only baseline-window data, replicates across two birth-year cohorts, withstands structural controls and unmeasured-confounder E-values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56"/>
    <w:bookmarkStart w:id="57" w:name="limitations"/>
    <w:p>
      <w:pPr>
        <w:pStyle w:val="Heading2"/>
      </w:pPr>
      <w:r>
        <w:t xml:space="preserve">4.9 Limitations</w:t>
      </w:r>
    </w:p>
    <w:p>
      <w:pPr>
        <w:pStyle w:val="FirstParagraph"/>
      </w:pPr>
      <w:r>
        <w:t xml:space="preserve">Six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both involve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soft-selected. Athletes who participated in a regional grassroots meet at age 13–14 are already self- and parent-selected for organized-sport orientation through a registered club;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Readers should not extrapolate the calibration metrics (Table 6) to children with no organized-sport history. A second-stage retention analysis applied to the broader population (e.g., all registered club members regardless of regional-meet entry) would have different base rates and likely different threshold optima.</w:t>
      </w:r>
    </w:p>
    <w:p>
      <w:pPr>
        <w:pStyle w:val="BodyText"/>
      </w:pPr>
      <w:r>
        <w:t xml:space="preserve">Fourth, the predictor and outcome share a measurement scale (registered competitive activity). Although we have addressed this with a fully baseline-only primary model, with landmark and zero-volume-exclusion sensitivities, and with the pull-back-vs-typology decomposition, the structural overlap remains a conceptual limitation of register-only research designs.</w:t>
      </w:r>
    </w:p>
    <w:p>
      <w:pPr>
        <w:pStyle w:val="BodyText"/>
      </w:pPr>
      <w:r>
        <w:t xml:space="preserve">Fifth, for the secondary Cox specification with post-baseline covariates, the proportional-hazards assumption was violated for milestone-window volume (Schoenfeld χ² = 220.77). Period-specific estimates and a stratified model preserved direction and rough magnitude, but interpretation of the early-window HR should be qualified by the same operational-overlap concern; we report it descriptively rather than as evidence of a clean prospective effect.</w:t>
      </w:r>
    </w:p>
    <w:p>
      <w:pPr>
        <w:pStyle w:val="BodyText"/>
      </w:pPr>
      <w:r>
        <w:t xml:space="preserve">Sixth,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independent birth-year cohorts, and is not driven by mechanical zero-values among already-dropped-out athletes. Both early behavioral heterogeneity and within-athlete pull-back contribute independently. The findings are consistent with — though they do not directly confirm — long-standing qualitative and theoretical accounts that frame dropout as a gradual deliberative process rather than a single decision. They suggest a practical role for prospective register-based behavioral surveillance as an early-warning marker, implementable at the end of an athlete’s 14-year-old season before the qualification-milestone window opens.</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2026-05-18T14:01:06Z</dcterms:created>
  <dcterms:modified xsi:type="dcterms:W3CDTF">2026-05-18T14:01:06Z</dcterms:modified>
</cp:coreProperties>
</file>

<file path=docProps/custom.xml><?xml version="1.0" encoding="utf-8"?>
<Properties xmlns="http://schemas.openxmlformats.org/officeDocument/2006/custom-properties" xmlns:vt="http://schemas.openxmlformats.org/officeDocument/2006/docPropsVTypes"/>
</file>