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 cohorts 1998–2002), recording annual competition counts, event diversification, championship participation, and Tyrving age-norm performance through 2025 — a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was the dominant predictor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protective — opposite to the diversification literature for peak performance.</w:t>
      </w:r>
    </w:p>
    <w:p>
      <w:pPr>
        <w:pStyle w:val="BodyText"/>
      </w:pPr>
      <w:r>
        <w:rPr>
          <w:b/>
          <w:bCs/>
        </w:rPr>
        <w:t xml:space="preserve">Conclusions.</w:t>
      </w:r>
      <w:r>
        <w:t xml:space="preserve"> </w:t>
      </w:r>
      <w:r>
        <w:t xml:space="preserve">Register-based behavior at the end of the age-14 season identifies athletes at high risk of dropout (PPV ≈ 0.94 at moderate thresholds), providing a prospective tool to complement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the binary outcome</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The set of candidate predictors comprises sex, baseline Tyrving performance, Herfindahl–Hirschman event-category concentration over the first three active seasons (HHI early), and the count of distinct competition meets attended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The decision to restrict the primary predictors to the baseline window addresses two analytic concerns. First, milestone-window volume (ages 15–16) is partially overlapping with the early portion of the outcome process — an athlete who drops out before age 15 has milestone volume = 0 by construction</w:t>
      </w:r>
      <w:r>
        <w:t xml:space="preserve"> </w:t>
      </w:r>
      <w:r>
        <w:rPr>
          <w:i/>
          <w:iCs/>
        </w:rPr>
        <w:t xml:space="preserve">and</w:t>
      </w:r>
      <w:r>
        <w:t xml:space="preserve"> </w:t>
      </w:r>
      <w:r>
        <w:t xml:space="preserve">will not retain senior activity — which would inflate apparent discrimination through measurement overlap rather than prospective prediction. Second, the journal’s a-priori-power expectation maps more naturally onto a single, clearly-defined estimand than onto a sequence of stepwise time-overlapping covariates. By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For survival visualization and as a secondary effect-size representation, we modeled</w:t>
      </w:r>
      <w:r>
        <w:t xml:space="preserve"> </w:t>
      </w:r>
      <w:r>
        <w:rPr>
          <w:i/>
          <w:iCs/>
        </w:rPr>
        <w:t xml:space="preserve">time from baseline to last active season</w:t>
      </w:r>
      <w:r>
        <w:t xml:space="preserve"> </w:t>
      </w:r>
      <w:r>
        <w:t xml:space="preserve">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t>
      </w:r>
      <w:r>
        <w:t xml:space="preserve">and tied event times handled by Efron’s (1977) method (Davidson-Pilon, 2024). The primary Cox specification (Supplementary Table S16) uses the same baseline-only predictor set as the primary logistic regression. We additionally report:</w:t>
      </w:r>
    </w:p>
    <w:p>
      <w:pPr>
        <w:pStyle w:val="Compact"/>
        <w:numPr>
          <w:ilvl w:val="0"/>
          <w:numId w:val="1001"/>
        </w:numPr>
      </w:pPr>
      <w:r>
        <w:rPr>
          <w:b/>
          <w:bCs/>
        </w:rPr>
        <w:t xml:space="preserve">Landmark analysis</w:t>
      </w:r>
      <w:r>
        <w:t xml:space="preserve"> </w:t>
      </w:r>
      <w:r>
        <w:t xml:space="preserve">(van Houwelingen, 2007): restriction to athletes with at least one registered result at age 16 (n = 1,167), with follow-up measured from age 16 forward, examining whether ages-15–16 volume predicts subsequent retention among continuing athletes (Supplementary Table S8).</w:t>
      </w:r>
    </w:p>
    <w:p>
      <w:pPr>
        <w:pStyle w:val="Compact"/>
        <w:numPr>
          <w:ilvl w:val="0"/>
          <w:numId w:val="1001"/>
        </w:numPr>
      </w:pPr>
      <w:r>
        <w:rPr>
          <w:b/>
          <w:bCs/>
        </w:rPr>
        <w:t xml:space="preserve">Post-baseline Cox specification</w:t>
      </w:r>
      <w:r>
        <w:t xml:space="preserve"> </w:t>
      </w:r>
      <w:r>
        <w:t xml:space="preserve">with ages-15–16 volume and pre-age-17 championship breadth as covariates (Supplementary Table S17). Because these covariates overlap temporally with the early portion of the at-risk window, we report this specification only as a complement to the primary baseline-only model; its discriminative gain should not be interpreted as ordinary prospective prediction.</w:t>
      </w:r>
    </w:p>
    <w:p>
      <w:pPr>
        <w:pStyle w:val="FirstParagraph"/>
      </w:pPr>
      <w:r>
        <w:t xml:space="preserve">We assessed proportional hazards using Schoenfeld residuals (Grambsch &amp; Therneau, 1994) and re-estimated the model stratified on violating variables (Therneau &amp; Grambsch, 2000). For substantive effects we also computed the</w:t>
      </w:r>
      <w:r>
        <w:t xml:space="preserve"> </w:t>
      </w:r>
      <w:r>
        <w:rPr>
          <w:b/>
          <w:bCs/>
        </w:rPr>
        <w:t xml:space="preserve">E-value</w:t>
      </w:r>
      <w:r>
        <w:t xml:space="preserve"> </w:t>
      </w:r>
      <w:r>
        <w:t xml:space="preserve">(VanderWeele &amp; Ding, 2017), period-specific Cox estimates across three follow-up windows (years 0–3, 3–6, 6+), cluster-robust standard errors clustered on club name (Lin &amp; Wei, 1989), and sex-stratified subgroup Cox models. Hazard ratios are reported as descriptive associations within the observed register structure and should not be interpreted causally; register-based competition behavior reflects both individual choice and contextual factors (selection, injury, family circumstances, parallel sport involvement) that are not observed.</w:t>
      </w:r>
    </w:p>
    <w:p>
      <w:pPr>
        <w:pStyle w:val="BodyText"/>
      </w:pPr>
      <w:r>
        <w:t xml:space="preserve">Kaplan–Meier curves were stratified by sex, by total competition volume at age 15–16 (categorized into 0, 1–5, 6–15, 16–30, or 31+ meets), and by number of championship types entered before age 17.</w:t>
      </w:r>
    </w:p>
    <w:bookmarkEnd w:id="27"/>
    <w:bookmarkStart w:id="28" w:name="sample-size-and-detection-capacity"/>
    <w:p>
      <w:pPr>
        <w:pStyle w:val="Heading3"/>
      </w:pPr>
      <w:r>
        <w:t xml:space="preserve">2.5.5 Sample size and detection capacity</w:t>
      </w:r>
    </w:p>
    <w:p>
      <w:pPr>
        <w:pStyle w:val="FirstParagraph"/>
      </w:pPr>
      <w:r>
        <w:t xml:space="preserve">Although a-priori power calculations are standard in experimental designs, they are less directly applicable to population-based register studies where the full cohort meeting inclusion criteria is observed and there is no sampling step at which the analyst chooses an</w:t>
      </w:r>
      <w:r>
        <w:t xml:space="preserve"> </w:t>
      </w:r>
      <w:r>
        <w:rPr>
          <w:i/>
          <w:iCs/>
        </w:rPr>
        <w:t xml:space="preserve">N</w:t>
      </w:r>
      <w:r>
        <w:t xml:space="preserve">. We therefore replace the standard a-priori power calculation with a</w:t>
      </w:r>
      <w:r>
        <w:t xml:space="preserve"> </w:t>
      </w:r>
      <w:r>
        <w:rPr>
          <w:i/>
          <w:iCs/>
        </w:rPr>
        <w:t xml:space="preserve">detection-capacity</w:t>
      </w:r>
      <w:r>
        <w:t xml:space="preserve"> </w:t>
      </w:r>
      <w:r>
        <w:t xml:space="preserve">analysis: given the observed event count, what is the smallest effect size that the design could reliably detect, and how does this compare to effect sizes reported in prior longitudinal dropout research?</w:t>
      </w:r>
    </w:p>
    <w:p>
      <w:pPr>
        <w:pStyle w:val="BodyText"/>
      </w:pPr>
      <w:r>
        <w:t xml:space="preserve">For the secondary Cox analysis we computed the minimum detectable hazard ratio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α</m:t>
        </m:r>
        <m:r>
          <m:rPr>
            <m:sty m:val="p"/>
          </m:rPr>
          <m:t>=</m:t>
        </m:r>
        <m:r>
          <m:t>.05</m:t>
        </m:r>
      </m:oMath>
      <w:r>
        <w:t xml:space="preserve">, and 80% power,</w:t>
      </w:r>
      <w:r>
        <w:t xml:space="preserve"> </w:t>
      </w:r>
      <m:oMath>
        <m:r>
          <m:t>H</m:t>
        </m:r>
        <m:sSub>
          <m:e>
            <m:r>
              <m:t>R</m:t>
            </m:r>
          </m:e>
          <m:sub>
            <m:r>
              <m:rPr>
                <m:sty m:val="p"/>
              </m:rPr>
              <m:t>min</m:t>
            </m:r>
          </m:sub>
        </m:sSub>
        <m:r>
          <m:rPr>
            <m:sty m:val="p"/>
          </m:rPr>
          <m:t>≈</m:t>
        </m:r>
        <m:r>
          <m:t>1.07</m:t>
        </m:r>
      </m:oMath>
      <w:r>
        <w:t xml:space="preserve"> </w:t>
      </w:r>
      <w:r>
        <w:t xml:space="preserve">per SD for a standardized covariate. (For an unstandardized binary covariate such as the sex indicator with class proportions ≈ 0.5, the corresponding minimum detectable HR is closer to 1.15.) Effect sizes in prior prospective youth-sport dropout research are typically</w:t>
      </w:r>
      <w:r>
        <w:t xml:space="preserve"> </w:t>
      </w:r>
      <w:r>
        <w:rPr>
          <w:i/>
          <w:iCs/>
        </w:rPr>
        <w:t xml:space="preserve">small-to-moderate</w:t>
      </w:r>
      <w:r>
        <w:t xml:space="preserve">: motivational and engagement-based predictors in 12–24-month prospective designs (Sarrazin et al., 2002; Calvo et al., 2010) and in survey-based studies of dropout reasons (Espedalen &amp; Seippel, 2022) generally correspond to standardized effect-size estimates in the small-to-moderate range (Cohen’s</w:t>
      </w:r>
      <w:r>
        <w:t xml:space="preserve"> </w:t>
      </w:r>
      <w:r>
        <w:rPr>
          <w:i/>
          <w:iCs/>
        </w:rPr>
        <w:t xml:space="preserve">d</w:t>
      </w:r>
      <w:r>
        <w:t xml:space="preserve"> </w:t>
      </w:r>
      <w:r>
        <w:t xml:space="preserve">≈ 0.2–0.5; comparable odds ratios ≈ 1.4–2.5). The detection capacity of the present design is therefore well below the effect magnitudes typically reported in this literature; null findings for standardized covariates reported here should be interpreted as substantively small rather than as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Primary analyses used complete-case regression (n = 1,704 for the full model). To assess sensitivity, we re-estimated the full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To inform the practical claim that competition behavior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based on</w:t>
      </w:r>
      <w:r>
        <w:t xml:space="preserve"> </w:t>
      </w:r>
      <w:r>
        <w:rPr>
          <w:i/>
          <w:iCs/>
        </w:rPr>
        <w:t xml:space="preserve">pre-milestone</w:t>
      </w:r>
      <w:r>
        <w:t xml:space="preserve"> </w:t>
      </w:r>
      <w:r>
        <w:t xml:space="preserve">(ages 13–14) competition volume, i.e., applied at the end of an athlete’s age-14 season as a</w:t>
      </w:r>
      <w:r>
        <w:t xml:space="preserve"> </w:t>
      </w:r>
      <w:r>
        <w:rPr>
          <w:i/>
          <w:iCs/>
        </w:rPr>
        <w:t xml:space="preserve">prospective</w:t>
      </w:r>
      <w:r>
        <w:t xml:space="preserve"> </w:t>
      </w:r>
      <w:r>
        <w:t xml:space="preserve">trigger (Table 6). Because the threshold uses only data available at age 14, it is implementable in real time, before any age-15–16 outcome data exist.</w:t>
      </w:r>
    </w:p>
    <w:bookmarkEnd w:id="30"/>
    <w:bookmarkStart w:id="31" w:name="Xd388b6cfbd040dfde209d844d29e071c18a3e07"/>
    <w:p>
      <w:pPr>
        <w:pStyle w:val="Heading3"/>
      </w:pPr>
      <w:r>
        <w:t xml:space="preserve">2.5.8 Cross-cohort replication and variable importance (supplementary)</w:t>
      </w:r>
    </w:p>
    <w:p>
      <w:pPr>
        <w:pStyle w:val="FirstParagraph"/>
      </w:pPr>
      <w:r>
        <w:t xml:space="preserve">The primary L4 logistic regression and the secondary Cox specifications were re-estimated separately within Cohort A (1998–2000) and Cohort B (2001–2002). For non-parametric variable importance, we fit a random forest (Breiman, 2001) with 500 trees and maximum depth 8 to predict active senior status, with class weighting to handle outcome imbalance; variable importance is reported as the mean decrease in Gini impurity. We treat the random forest as convergent evidence for the regression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ages 13–14</w:t>
            </w:r>
          </w:p>
        </w:tc>
        <w:tc>
          <w:tcPr/>
          <w:p>
            <w:pPr>
              <w:pStyle w:val="Compact"/>
            </w:pPr>
            <w:r>
              <w:t xml:space="preserve">8</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dropouts show declining participation at age 15, while future retainers maintain or increase participation through age 17.</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Future retainers and future dropouts already differ at ages 13–14; the gap widens further across the age-14-to-15 transition.</w:t>
      </w:r>
    </w:p>
    <w:p>
      <w:r>
        <w:pict>
          <v:rect style="width:0;height:1.5pt" o:hralign="center" o:hrstd="t" o:hr="t"/>
        </w:pict>
      </w:r>
    </w:p>
    <w:bookmarkEnd w:id="46"/>
    <w:bookmarkStart w:id="50"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 follow-up year 14; athletes in the lowest stratum retained 4%.</w:t>
      </w:r>
    </w:p>
    <w:bookmarkEnd w:id="50"/>
    <w:bookmarkStart w:id="51"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bookmarkEnd w:id="51"/>
    <w:bookmarkStart w:id="52"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0.72</w:t>
            </w:r>
          </w:p>
        </w:tc>
        <w:tc>
          <w:tcPr/>
          <w:p>
            <w:pPr>
              <w:pStyle w:val="Compact"/>
            </w:pPr>
            <w:r>
              <w:t xml:space="preserve">[0.56, 0.93]</w:t>
            </w:r>
          </w:p>
        </w:tc>
        <w:tc>
          <w:tcPr/>
          <w:p>
            <w:pPr>
              <w:pStyle w:val="Compact"/>
            </w:pPr>
            <w:r>
              <w:t xml:space="preserve">.012</w:t>
            </w:r>
          </w:p>
        </w:tc>
        <w:tc>
          <w:tcPr/>
          <w:p>
            <w:pPr>
              <w:pStyle w:val="Compact"/>
            </w:pPr>
            <w:r>
              <w:t xml:space="preserve">0.541 (±0.023)</w:t>
            </w:r>
          </w:p>
        </w:tc>
        <w:tc>
          <w:tcPr/>
          <w:p>
            <w:pPr>
              <w:pStyle w:val="Compact"/>
            </w:pPr>
            <w:r>
              <w:t xml:space="preserve">1,704</w:t>
            </w:r>
          </w:p>
        </w:tc>
      </w:tr>
      <w:tr>
        <w:tc>
          <w:tcPr/>
          <w:p>
            <w:pPr>
              <w:pStyle w:val="Compact"/>
            </w:pPr>
            <w:r>
              <w:t xml:space="preserve">L2: + Performance</w:t>
            </w:r>
          </w:p>
        </w:tc>
        <w:tc>
          <w:tcPr/>
          <w:p>
            <w:pPr>
              <w:pStyle w:val="Compact"/>
            </w:pPr>
            <w:r>
              <w:t xml:space="preserve">Female</w:t>
            </w:r>
          </w:p>
        </w:tc>
        <w:tc>
          <w:tcPr/>
          <w:p>
            <w:pPr>
              <w:pStyle w:val="Compact"/>
            </w:pPr>
            <w:r>
              <w:t xml:space="preserve">0.68</w:t>
            </w:r>
          </w:p>
        </w:tc>
        <w:tc>
          <w:tcPr/>
          <w:p>
            <w:pPr>
              <w:pStyle w:val="Compact"/>
            </w:pPr>
            <w:r>
              <w:t xml:space="preserve">[0.52, 0.88]</w:t>
            </w:r>
          </w:p>
        </w:tc>
        <w:tc>
          <w:tcPr/>
          <w:p>
            <w:pPr>
              <w:pStyle w:val="Compact"/>
            </w:pPr>
            <w:r>
              <w:t xml:space="preserve">.003</w:t>
            </w:r>
          </w:p>
        </w:tc>
        <w:tc>
          <w:tcPr/>
          <w:p>
            <w:pPr>
              <w:pStyle w:val="Compact"/>
            </w:pPr>
            <w:r>
              <w:t xml:space="preserve">0.607 (±0.014)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r>
              <w:t xml:space="preserve">L3: + Specialization</w:t>
            </w:r>
          </w:p>
        </w:tc>
        <w:tc>
          <w:tcPr/>
          <w:p>
            <w:pPr>
              <w:pStyle w:val="Compact"/>
            </w:pPr>
            <w:r>
              <w:t xml:space="preserve">Female</w:t>
            </w:r>
          </w:p>
        </w:tc>
        <w:tc>
          <w:tcPr/>
          <w:p>
            <w:pPr>
              <w:pStyle w:val="Compact"/>
            </w:pPr>
            <w:r>
              <w:t xml:space="preserve">0.68</w:t>
            </w:r>
          </w:p>
        </w:tc>
        <w:tc>
          <w:tcPr/>
          <w:p>
            <w:pPr>
              <w:pStyle w:val="Compact"/>
            </w:pPr>
            <w:r>
              <w:t xml:space="preserve">[0.53, 0.88]</w:t>
            </w:r>
          </w:p>
        </w:tc>
        <w:tc>
          <w:tcPr/>
          <w:p>
            <w:pPr>
              <w:pStyle w:val="Compact"/>
            </w:pPr>
            <w:r>
              <w:t xml:space="preserve">.004</w:t>
            </w:r>
          </w:p>
        </w:tc>
        <w:tc>
          <w:tcPr/>
          <w:p>
            <w:pPr>
              <w:pStyle w:val="Compact"/>
            </w:pPr>
            <w:r>
              <w:t xml:space="preserve">0.600 (±0.019)</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1.09</w:t>
            </w:r>
          </w:p>
        </w:tc>
        <w:tc>
          <w:tcPr/>
          <w:p>
            <w:pPr>
              <w:pStyle w:val="Compact"/>
            </w:pPr>
            <w:r>
              <w:t xml:space="preserve">[0.95, 1.24]</w:t>
            </w:r>
          </w:p>
        </w:tc>
        <w:tc>
          <w:tcPr/>
          <w:p>
            <w:pPr>
              <w:pStyle w:val="Compact"/>
            </w:pPr>
            <w:r>
              <w:t xml:space="preserve">.238</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0.61</w:t>
            </w:r>
          </w:p>
        </w:tc>
        <w:tc>
          <w:tcPr/>
          <w:p>
            <w:pPr>
              <w:pStyle w:val="Compact"/>
            </w:pPr>
            <w:r>
              <w:t xml:space="preserve">[0.46, 0.80]</w:t>
            </w:r>
          </w:p>
        </w:tc>
        <w:tc>
          <w:tcPr/>
          <w:p>
            <w:pPr>
              <w:pStyle w:val="Compact"/>
            </w:pPr>
            <w:r>
              <w:t xml:space="preserve">&lt; .001</w:t>
            </w:r>
          </w:p>
        </w:tc>
        <w:tc>
          <w:tcPr/>
          <w:p>
            <w:pPr>
              <w:pStyle w:val="Compact"/>
            </w:pPr>
            <w:r>
              <w:rPr>
                <w:b/>
                <w:bCs/>
              </w:rPr>
              <w:t xml:space="preserve">0.751</w:t>
            </w:r>
            <w:r>
              <w:t xml:space="preserve"> </w:t>
            </w:r>
            <w:r>
              <w:t xml:space="preserve">(±0.026)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.144</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1.36</w:t>
            </w:r>
          </w:p>
        </w:tc>
        <w:tc>
          <w:tcPr/>
          <w:p>
            <w:pPr>
              <w:pStyle w:val="Compact"/>
            </w:pPr>
            <w:r>
              <w:t xml:space="preserve">[1.17, 1.57]</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2.40</w:t>
            </w:r>
          </w:p>
        </w:tc>
        <w:tc>
          <w:tcPr/>
          <w:p>
            <w:pPr>
              <w:pStyle w:val="Compact"/>
            </w:pPr>
            <w:r>
              <w:rPr>
                <w:b/>
                <w:bCs/>
              </w:rPr>
              <w:t xml:space="preserve">[2.08, 2.76]</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Pre-milestone volume is the sum of distinct meets attended at ages 13 and 14. Continuous covariates are z-standardized so ORs reflect per-SD effects. Cross-validated AUC uses 5-fold stratified resampling. The pre-milestone volume coefficient is the dominant single-step gain (AUC 0.600 → 0.751). HHI becomes significant once volume is entered (mutual adjustment); the direction indicates that higher concentration in fewer event categories is associated with higher retention odds (see also Discussion 4.6).</w:t>
      </w:r>
    </w:p>
    <w:p>
      <w:r>
        <w:pict>
          <v:rect style="width:0;height:1.5pt" o:hralign="center" o:hrstd="t" o:hr="t"/>
        </w:pict>
      </w:r>
    </w:p>
    <w:bookmarkEnd w:id="52"/>
    <w:bookmarkStart w:id="53"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53"/>
    <w:bookmarkStart w:id="54"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 / Supplementary Table S14).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bookmarkEnd w:id="54"/>
    <w:bookmarkStart w:id="55" w:name="Xead665dc21eb92f77ea82cce847e701a62b1bef"/>
    <w:p>
      <w:pPr>
        <w:pStyle w:val="Heading2"/>
      </w:pPr>
      <w:r>
        <w:t xml:space="preserve">Table 4. Pull-back versus baseline heterogeneity: volume level and within-athlete change</w:t>
      </w:r>
    </w:p>
    <w:p>
      <w:pPr>
        <w:pStyle w:val="FirstParagraph"/>
      </w:pPr>
      <w:r>
        <w:t xml:space="preserve">Athletes still active at age 14 (n = 1,914).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0.61</w:t>
            </w:r>
          </w:p>
        </w:tc>
        <w:tc>
          <w:tcPr/>
          <w:p>
            <w:pPr>
              <w:pStyle w:val="Compact"/>
            </w:pPr>
            <w:r>
              <w:t xml:space="preserve">[0.46,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.167</w:t>
            </w:r>
          </w:p>
        </w:tc>
      </w:tr>
      <w:tr>
        <w:tc>
          <w:tcPr/>
          <w:p>
            <w:pPr>
              <w:pStyle w:val="Compact"/>
            </w:pPr>
          </w:p>
        </w:tc>
        <w:tc>
          <w:tcPr/>
          <w:p>
            <w:pPr>
              <w:pStyle w:val="Compact"/>
            </w:pPr>
            <w:r>
              <w:rPr>
                <w:b/>
                <w:bCs/>
              </w:rPr>
              <w:t xml:space="preserve">Volume at age 14 (z)</w:t>
            </w:r>
          </w:p>
        </w:tc>
        <w:tc>
          <w:tcPr/>
          <w:p>
            <w:pPr>
              <w:pStyle w:val="Compact"/>
            </w:pPr>
            <w:r>
              <w:rPr>
                <w:b/>
                <w:bCs/>
              </w:rPr>
              <w:t xml:space="preserve">2.23</w:t>
            </w:r>
          </w:p>
        </w:tc>
        <w:tc>
          <w:tcPr/>
          <w:p>
            <w:pPr>
              <w:pStyle w:val="Compact"/>
            </w:pPr>
            <w:r>
              <w:rPr>
                <w:b/>
                <w:bCs/>
              </w:rPr>
              <w:t xml:space="preserve">[1.94, 2.57]</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t xml:space="preserve">[0.44,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1.01</w:t>
            </w:r>
          </w:p>
        </w:tc>
        <w:tc>
          <w:tcPr/>
          <w:p>
            <w:pPr>
              <w:pStyle w:val="Compact"/>
            </w:pPr>
            <w:r>
              <w:t xml:space="preserve">[0.86, 1.19]</w:t>
            </w:r>
          </w:p>
        </w:tc>
        <w:tc>
          <w:tcPr/>
          <w:p>
            <w:pPr>
              <w:pStyle w:val="Compact"/>
            </w:pPr>
            <w:r>
              <w:t xml:space="preserve">.882</w:t>
            </w:r>
          </w:p>
        </w:tc>
      </w:tr>
      <w:tr>
        <w:tc>
          <w:tcPr/>
          <w:p>
            <w:pPr>
              <w:pStyle w:val="Compact"/>
            </w:pPr>
          </w:p>
        </w:tc>
        <w:tc>
          <w:tcPr/>
          <w:p>
            <w:pPr>
              <w:pStyle w:val="Compact"/>
            </w:pPr>
            <w:r>
              <w:rPr>
                <w:b/>
                <w:bCs/>
              </w:rPr>
              <w:t xml:space="preserve">Volume at age 14 (z)</w:t>
            </w:r>
          </w:p>
        </w:tc>
        <w:tc>
          <w:tcPr/>
          <w:p>
            <w:pPr>
              <w:pStyle w:val="Compact"/>
            </w:pPr>
            <w:r>
              <w:rPr>
                <w:b/>
                <w:bCs/>
              </w:rPr>
              <w:t xml:space="preserve">2.79</w:t>
            </w:r>
          </w:p>
        </w:tc>
        <w:tc>
          <w:tcPr/>
          <w:p>
            <w:pPr>
              <w:pStyle w:val="Compact"/>
            </w:pPr>
            <w:r>
              <w:rPr>
                <w:b/>
                <w:bCs/>
              </w:rPr>
              <w:t xml:space="preserve">[2.37, 3.28]</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2.44</w:t>
            </w:r>
          </w:p>
        </w:tc>
        <w:tc>
          <w:tcPr/>
          <w:p>
            <w:pPr>
              <w:pStyle w:val="Compact"/>
            </w:pPr>
            <w:r>
              <w:rPr>
                <w:b/>
                <w:bCs/>
              </w:rPr>
              <w:t xml:space="preserve">[2.10, 2.83]</w:t>
            </w:r>
          </w:p>
        </w:tc>
        <w:tc>
          <w:tcPr/>
          <w:p>
            <w:pPr>
              <w:pStyle w:val="Compact"/>
            </w:pPr>
            <w:r>
              <w:rPr>
                <w:b/>
                <w:bCs/>
              </w:rPr>
              <w:t xml:space="preserve">&lt; .001</w:t>
            </w:r>
          </w:p>
        </w:tc>
      </w:tr>
    </w:tbl>
    <w:p>
      <w:pPr>
        <w:pStyle w:val="BodyText"/>
      </w:pPr>
      <w:r>
        <w:rPr>
          <w:i/>
          <w:iCs/>
        </w:rPr>
        <w:t xml:space="preserve">Note.</w:t>
      </w:r>
      <w:r>
        <w:t xml:space="preserve"> </w:t>
      </w:r>
      <w:r>
        <w:t xml:space="preserve">Pseudo-</w:t>
      </w:r>
      <w:r>
        <w:rPr>
          <w:i/>
          <w:iCs/>
        </w:rPr>
        <w:t xml:space="preserve">R</w:t>
      </w:r>
      <w:r>
        <w:t xml:space="preserve">² rose from 0.113 (M1) to 0.227 (M2) — within-athlete change adds substantial information conditional on baseline level. A one-SD greater decline from age 14 to age 15 was associated with 2.4-times lower retention odds, conditional on level at age 14. Both baseline level and within-athlete pull-back contribute substantially and independently.</w:t>
      </w:r>
    </w:p>
    <w:p>
      <w:r>
        <w:pict>
          <v:rect style="width:0;height:1.5pt" o:hralign="center" o:hrstd="t" o:hr="t"/>
        </w:pict>
      </w:r>
    </w:p>
    <w:bookmarkEnd w:id="55"/>
    <w:bookmarkStart w:id="56" w:name="time-aligned-behavior-vs.-performance"/>
    <w:p>
      <w:pPr>
        <w:pStyle w:val="Heading2"/>
      </w:pPr>
      <w:r>
        <w:t xml:space="preserve">3.7 Time-aligned behavior vs. performance</w:t>
      </w:r>
    </w:p>
    <w:p>
      <w:pPr>
        <w:pStyle w:val="FirstParagraph"/>
      </w:pPr>
      <w:r>
        <w:t xml:space="preserve">A reviewer concern with our earlier framing was that</w:t>
      </w:r>
      <w:r>
        <w:t xml:space="preserve"> </w:t>
      </w:r>
      <w:r>
        <w:t xml:space="preserve">“behavior beats performance”</w:t>
      </w:r>
      <w:r>
        <w:t xml:space="preserve"> </w:t>
      </w:r>
      <w:r>
        <w:t xml:space="preserve">compared post-baseline volume (ages 15–16) with baseline performance (ages 13–14), giving the behavioral predictor a temporal advantage. In a fully time-aligned comparison — both predictors measured during the baseline window of ages 13–14 — behavior still substantially out-predicts performance: AUC = 0.607 for sex + baseline Tyrving, AUC = 0.740 for sex + ages-13–14 volume, AUC = 0.737 for both combined (Supplementary Table S15). The performance variable adds essentially nothing once early competition volume is known. The substantive direction of our earlier finding survives the time-aligned comparison.</w:t>
      </w:r>
    </w:p>
    <w:bookmarkEnd w:id="56"/>
    <w:bookmarkStart w:id="57"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model in athletes with at least one registered result at age 16 (n = 1,167), with follow-up measured from age 16 forward (Supplementary Table S8). Competition volume across ages 15–16 remained the dominant predictor (HR = 0.60 per SD in Cox, 95% CI [0.54, 0.66], C-index = 0.74). A complementary analysis excluding athletes with vol_milestone = 0 produced HR = 0.51 (Supplementary Table S12). The Cox model fitted from baseline using post-baseline behavioral covariates is reported in Supplementary Table S17; we have not used it as the primary estimate because the predictor and the early portion of the at-risk window overlap in time.</w:t>
      </w:r>
    </w:p>
    <w:bookmarkEnd w:id="57"/>
    <w:bookmarkStart w:id="58"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bookmarkEnd w:id="58"/>
    <w:bookmarkStart w:id="59"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3 meets</w:t>
            </w:r>
          </w:p>
        </w:tc>
        <w:tc>
          <w:tcPr/>
          <w:p>
            <w:pPr>
              <w:pStyle w:val="Compact"/>
            </w:pPr>
            <w:r>
              <w:t xml:space="preserve">2.3</w:t>
            </w:r>
          </w:p>
        </w:tc>
        <w:tc>
          <w:tcPr/>
          <w:p>
            <w:pPr>
              <w:pStyle w:val="Compact"/>
            </w:pPr>
            <w:r>
              <w:t xml:space="preserve">0.03</w:t>
            </w:r>
          </w:p>
        </w:tc>
        <w:tc>
          <w:tcPr/>
          <w:p>
            <w:pPr>
              <w:pStyle w:val="Compact"/>
            </w:pPr>
            <w:r>
              <w:t xml:space="preserve">1.00</w:t>
            </w:r>
          </w:p>
        </w:tc>
        <w:tc>
          <w:tcPr/>
          <w:p>
            <w:pPr>
              <w:pStyle w:val="Compact"/>
            </w:pPr>
            <w:r>
              <w:rPr>
                <w:b/>
                <w:bCs/>
              </w:rPr>
              <w:t xml:space="preserve">0.96</w:t>
            </w:r>
          </w:p>
        </w:tc>
        <w:tc>
          <w:tcPr/>
          <w:p>
            <w:pPr>
              <w:pStyle w:val="Compact"/>
            </w:pPr>
            <w:r>
              <w:t xml:space="preserve">0.17</w:t>
            </w:r>
          </w:p>
        </w:tc>
      </w:tr>
      <w:tr>
        <w:tc>
          <w:tcPr/>
          <w:p>
            <w:pPr>
              <w:pStyle w:val="Compact"/>
            </w:pPr>
            <w:r>
              <w:t xml:space="preserve">5 meets</w:t>
            </w:r>
          </w:p>
        </w:tc>
        <w:tc>
          <w:tcPr/>
          <w:p>
            <w:pPr>
              <w:pStyle w:val="Compact"/>
            </w:pPr>
            <w:r>
              <w:t xml:space="preserve">9.3</w:t>
            </w:r>
          </w:p>
        </w:tc>
        <w:tc>
          <w:tcPr/>
          <w:p>
            <w:pPr>
              <w:pStyle w:val="Compact"/>
            </w:pPr>
            <w:r>
              <w:t xml:space="preserve">0.10</w:t>
            </w:r>
          </w:p>
        </w:tc>
        <w:tc>
          <w:tcPr/>
          <w:p>
            <w:pPr>
              <w:pStyle w:val="Compact"/>
            </w:pPr>
            <w:r>
              <w:t xml:space="preserve">0.97</w:t>
            </w:r>
          </w:p>
        </w:tc>
        <w:tc>
          <w:tcPr/>
          <w:p>
            <w:pPr>
              <w:pStyle w:val="Compact"/>
            </w:pPr>
            <w:r>
              <w:rPr>
                <w:b/>
                <w:bCs/>
              </w:rPr>
              <w:t xml:space="preserve">0.93</w:t>
            </w:r>
          </w:p>
        </w:tc>
        <w:tc>
          <w:tcPr/>
          <w:p>
            <w:pPr>
              <w:pStyle w:val="Compact"/>
            </w:pPr>
            <w:r>
              <w:t xml:space="preserve">0.18</w:t>
            </w:r>
          </w:p>
        </w:tc>
      </w:tr>
      <w:tr>
        <w:tc>
          <w:tcPr/>
          <w:p>
            <w:pPr>
              <w:pStyle w:val="Compact"/>
            </w:pPr>
            <w:r>
              <w:t xml:space="preserve">8 meets</w:t>
            </w:r>
          </w:p>
        </w:tc>
        <w:tc>
          <w:tcPr/>
          <w:p>
            <w:pPr>
              <w:pStyle w:val="Compact"/>
            </w:pPr>
            <w:r>
              <w:t xml:space="preserve">19.8</w:t>
            </w:r>
          </w:p>
        </w:tc>
        <w:tc>
          <w:tcPr/>
          <w:p>
            <w:pPr>
              <w:pStyle w:val="Compact"/>
            </w:pPr>
            <w:r>
              <w:t xml:space="preserve">0.22</w:t>
            </w:r>
          </w:p>
        </w:tc>
        <w:tc>
          <w:tcPr/>
          <w:p>
            <w:pPr>
              <w:pStyle w:val="Compact"/>
            </w:pPr>
            <w:r>
              <w:t xml:space="preserve">0.94</w:t>
            </w:r>
          </w:p>
        </w:tc>
        <w:tc>
          <w:tcPr/>
          <w:p>
            <w:pPr>
              <w:pStyle w:val="Compact"/>
            </w:pPr>
            <w:r>
              <w:rPr>
                <w:b/>
                <w:bCs/>
              </w:rPr>
              <w:t xml:space="preserve">0.94</w:t>
            </w:r>
          </w:p>
        </w:tc>
        <w:tc>
          <w:tcPr/>
          <w:p>
            <w:pPr>
              <w:pStyle w:val="Compact"/>
            </w:pPr>
            <w:r>
              <w:t xml:space="preserve">0.20</w:t>
            </w:r>
          </w:p>
        </w:tc>
      </w:tr>
      <w:tr>
        <w:tc>
          <w:tcPr/>
          <w:p>
            <w:pPr>
              <w:pStyle w:val="Compact"/>
            </w:pPr>
            <w:r>
              <w:t xml:space="preserve">10 meets</w:t>
            </w:r>
          </w:p>
        </w:tc>
        <w:tc>
          <w:tcPr/>
          <w:p>
            <w:pPr>
              <w:pStyle w:val="Compact"/>
            </w:pPr>
            <w:r>
              <w:t xml:space="preserve">26.4</w:t>
            </w:r>
          </w:p>
        </w:tc>
        <w:tc>
          <w:tcPr/>
          <w:p>
            <w:pPr>
              <w:pStyle w:val="Compact"/>
            </w:pPr>
            <w:r>
              <w:t xml:space="preserve">0.30</w:t>
            </w:r>
          </w:p>
        </w:tc>
        <w:tc>
          <w:tcPr/>
          <w:p>
            <w:pPr>
              <w:pStyle w:val="Compact"/>
            </w:pPr>
            <w:r>
              <w:t xml:space="preserve">0.92</w:t>
            </w:r>
          </w:p>
        </w:tc>
        <w:tc>
          <w:tcPr/>
          <w:p>
            <w:pPr>
              <w:pStyle w:val="Compact"/>
            </w:pPr>
            <w:r>
              <w:rPr>
                <w:b/>
                <w:bCs/>
              </w:rPr>
              <w:t xml:space="preserve">0.94</w:t>
            </w:r>
          </w:p>
        </w:tc>
        <w:tc>
          <w:tcPr/>
          <w:p>
            <w:pPr>
              <w:pStyle w:val="Compact"/>
            </w:pPr>
            <w:r>
              <w:t xml:space="preserve">0.22</w:t>
            </w:r>
          </w:p>
        </w:tc>
      </w:tr>
      <w:tr>
        <w:tc>
          <w:tcPr/>
          <w:p>
            <w:pPr>
              <w:pStyle w:val="Compact"/>
            </w:pPr>
            <w:r>
              <w:t xml:space="preserve">15 meets</w:t>
            </w:r>
          </w:p>
        </w:tc>
        <w:tc>
          <w:tcPr/>
          <w:p>
            <w:pPr>
              <w:pStyle w:val="Compact"/>
            </w:pPr>
            <w:r>
              <w:t xml:space="preserve">43.1</w:t>
            </w:r>
          </w:p>
        </w:tc>
        <w:tc>
          <w:tcPr/>
          <w:p>
            <w:pPr>
              <w:pStyle w:val="Compact"/>
            </w:pPr>
            <w:r>
              <w:t xml:space="preserve">0.48</w:t>
            </w:r>
          </w:p>
        </w:tc>
        <w:tc>
          <w:tcPr/>
          <w:p>
            <w:pPr>
              <w:pStyle w:val="Compact"/>
            </w:pPr>
            <w:r>
              <w:t xml:space="preserve">0.84</w:t>
            </w:r>
          </w:p>
        </w:tc>
        <w:tc>
          <w:tcPr/>
          <w:p>
            <w:pPr>
              <w:pStyle w:val="Compact"/>
            </w:pPr>
            <w:r>
              <w:rPr>
                <w:b/>
                <w:bCs/>
              </w:rPr>
              <w:t xml:space="preserve">0.93</w:t>
            </w:r>
          </w:p>
        </w:tc>
        <w:tc>
          <w:tcPr/>
          <w:p>
            <w:pPr>
              <w:pStyle w:val="Compact"/>
            </w:pPr>
            <w:r>
              <w:t xml:space="preserve">0.25</w:t>
            </w:r>
          </w:p>
        </w:tc>
      </w:tr>
    </w:tbl>
    <w:p>
      <w:pPr>
        <w:pStyle w:val="BodyText"/>
      </w:pPr>
      <w:r>
        <w:rPr>
          <w:i/>
          <w:iCs/>
        </w:rPr>
        <w:t xml:space="preserve">Note.</w:t>
      </w:r>
      <w:r>
        <w:t xml:space="preserve"> </w:t>
      </w:r>
      <w:r>
        <w:t xml:space="preserve">Calibration of pre-milestone (ages 13–14) competition volume as a prospective early-warning indicator, applicable at the end of an athlete’s age-14 season — before the qualification window opens. PPV is the proportion of flagged athletes who subsequently failed to retain senior activity. PPV remains ≥ 0.93 across thresholds; the choice trades sensitivity for cohort coverage. The high PPV partly reflects the population’s high base-rate of non-retention (84%); the behavioral threshold improves precision by 9–12 percentage points over base-rate prediction while providing graduated sensitivity that base-rate prediction does not.</w:t>
      </w:r>
    </w:p>
    <w:p>
      <w:r>
        <w:pict>
          <v:rect style="width:0;height:1.5pt" o:hralign="center" o:hrstd="t" o:hr="t"/>
        </w:pict>
      </w:r>
    </w:p>
    <w:bookmarkEnd w:id="59"/>
    <w:bookmarkStart w:id="60"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60"/>
    <w:bookmarkStart w:id="61"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(see Supplementary Table S17).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post-baseline Cox specification, Supplementary Table S17) was 5.16, with a corresponding lower-CI E-value of 4.70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was the dominant prospective predictor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Specialization (higher HHI in baseline events) is protective in our data, a finding that runs against the international diversification literature for elite peak performance.</w:t>
      </w:r>
    </w:p>
    <w:p>
      <w:r>
        <w:pict>
          <v:rect style="width:0;height:1.5pt" o:hralign="center" o:hrstd="t" o:hr="t"/>
        </w:pict>
      </w:r>
    </w:p>
    <w:bookmarkEnd w:id="61"/>
    <w:bookmarkStart w:id="62" w:name="discussion"/>
    <w:p>
      <w:pPr>
        <w:pStyle w:val="Heading2"/>
      </w:pPr>
      <w:r>
        <w:t xml:space="preserve">4. Discussion</w:t>
      </w:r>
    </w:p>
    <w:bookmarkEnd w:id="62"/>
    <w:bookmarkStart w:id="63"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full Cox time-to-cessation analyses (Supplementary Tables S8, S16, S17)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63"/>
    <w:bookmarkStart w:id="64" w:name="X2907cacc9dc4ed31787261dbff099a7ab57dc46"/>
    <w:p>
      <w:pPr>
        <w:pStyle w:val="Heading2"/>
      </w:pPr>
      <w:r>
        <w:t xml:space="preserve">4.2 Behavior beats performance even in time-aligned comparison</w:t>
      </w:r>
    </w:p>
    <w:p>
      <w:pPr>
        <w:pStyle w:val="FirstParagraph"/>
      </w:pPr>
      <w:r>
        <w:t xml:space="preserve">A central observation is that behavior, measured by registered competition count, out-predicts performance,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essentially nothing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The choice variable is what subsequently dropout cascades from.</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64"/>
    <w:bookmarkStart w:id="65"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65"/>
    <w:bookmarkStart w:id="66"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behavioral trajectories we observe are consistent with two SCM-aligned dynamics: a stable enthusiastic-commitment trajectory among future retainers (rising or stable competition volume across ages 13–17) and an eroding commitment trajectory among future dropouts (declining volume across the age-14-to-15 transition). Self-determination theory and its sport applications (Ryan &amp; Deci, 2000; Vallerand, 1997, 2007; Sarrazin et al., 2002; Calvo et al., 2010; Standage, 2012) predict that athletes whose participation is sustained by well-internalized motivation persist when demands rise; the registered behavior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Wall and Côté’s (2007) characterization of investors versus samplers, and Espedalen’s (2025) related distinction between engaged enthusiasts and constrained casuals, both predict the bifurcating behavioral trajectories we observe.</w:t>
      </w:r>
    </w:p>
    <w:p>
      <w:pPr>
        <w:pStyle w:val="BodyText"/>
      </w:pPr>
      <w:r>
        <w:t xml:space="preserve">In short, the behavioral pattern we identify is what each of these accounts would predict if their hypothesized mechanisms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66"/>
    <w:bookmarkStart w:id="67"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67"/>
    <w:bookmarkStart w:id="68" w:name="X37bc2f5af12aa0e62fcce0882df4f986788eb3d"/>
    <w:p>
      <w:pPr>
        <w:pStyle w:val="Heading2"/>
      </w:pPr>
      <w:r>
        <w:t xml:space="preserve">4.6 Specialization is protective in our population (contrary expectation)</w:t>
      </w:r>
    </w:p>
    <w:p>
      <w:pPr>
        <w:pStyle w:val="FirstParagraph"/>
      </w:pPr>
      <w:r>
        <w:t xml:space="preserve">The international diversification literature (Côté &amp; Hancock, 2016; Güllich et al., 2022; Wall &amp; Côté, 2007) has consistently found that</w:t>
      </w:r>
      <w:r>
        <w:t xml:space="preserve"> </w:t>
      </w:r>
      <w:r>
        <w:rPr>
          <w:i/>
          <w:iCs/>
        </w:rPr>
        <w:t xml:space="preserve">peak performance</w:t>
      </w:r>
      <w:r>
        <w:t xml:space="preserve"> </w:t>
      </w:r>
      <w:r>
        <w:t xml:space="preserve">is supported by early multidisciplinary practice and early diversification. Our data on</w:t>
      </w:r>
      <w:r>
        <w:t xml:space="preserve"> </w:t>
      </w:r>
      <w:r>
        <w:rPr>
          <w:i/>
          <w:iCs/>
        </w:rPr>
        <w:t xml:space="preserve">retention</w:t>
      </w:r>
      <w:r>
        <w:t xml:space="preserve"> </w:t>
      </w:r>
      <w:r>
        <w:t xml:space="preserve">point in the opposite direction: higher baseline event-category concentration (i.e., specialization in fewer events) is associated with higher senior retention. The combined-cohort estimate was OR = 1.35 per SD of HHI (95% CI [1.16, 1.57]) in the primary baseline-only logistic model. The effect was present in both cohorts (Cohort A OR = 1.22; Cohort B OR = 1.58) and survived in the time-to-cessation Cox model (HR = 0.80 per SD).</w:t>
      </w:r>
    </w:p>
    <w:p>
      <w:pPr>
        <w:pStyle w:val="BodyText"/>
      </w:pPr>
      <w:r>
        <w:t xml:space="preserve">Three possible reconciliations are worth flagging. First, the constructs differ: peak performance and retention are not the same outcome, and the qualitative claim that early specialization causes burnout is largely about performance trajectories at elite levels, not about everyday participation in regional track and field. Second, in this register,</w:t>
      </w:r>
      <w:r>
        <w:t xml:space="preserve"> </w:t>
      </w:r>
      <w:r>
        <w:t xml:space="preserve">“specialization”</w:t>
      </w:r>
      <w:r>
        <w:t xml:space="preserve"> </w:t>
      </w:r>
      <w:r>
        <w:t xml:space="preserve">at ages 13–14 may capture a different latent trait than later specialization in adolescent talent-development pathways — children who train and compete primarily in one event category may simply be the ones whose family and club organization supports sustained engagement. Third, our cohort comprises a soft-selected group of already-engaged adolescents; the protective effect of specialization could be specific to retention</w:t>
      </w:r>
      <w:r>
        <w:t xml:space="preserve"> </w:t>
      </w:r>
      <w:r>
        <w:rPr>
          <w:i/>
          <w:iCs/>
        </w:rPr>
        <w:t xml:space="preserve">given engagement</w:t>
      </w:r>
      <w:r>
        <w:t xml:space="preserve"> </w:t>
      </w:r>
      <w:r>
        <w:t xml:space="preserve">and would not generalize to the broader question of whether to specialize among children weighing whether to engage at all. We frame this finding as a contrast with the established literature rather than a refutation of it — both the literature and our analysis can be correct about their respective outcomes.</w:t>
      </w:r>
    </w:p>
    <w:bookmarkEnd w:id="68"/>
    <w:bookmarkStart w:id="69"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classifies eventual senior retention at AUC = 0.751 with only baseline-window data, replicates across two birth-year cohorts, withstands structural controls and unmeasured-confounder E-values exceeding 5, and decomposes into both early-heterogeneity and within-athlete pull-back components.</w:t>
      </w:r>
    </w:p>
    <w:bookmarkEnd w:id="69"/>
    <w:bookmarkStart w:id="70" w:name="practical-implications"/>
    <w:p>
      <w:pPr>
        <w:pStyle w:val="Heading2"/>
      </w:pPr>
      <w:r>
        <w:t xml:space="preserve">4.8 Practical implications</w:t>
      </w:r>
    </w:p>
    <w:p>
      <w:pPr>
        <w:pStyle w:val="FirstParagraph"/>
      </w:pPr>
      <w:r>
        <w:t xml:space="preserve">The findings suggest a tractable early-warning approach for retention-focused interventions. Because the primary calibration is based on pre-milestone (ages 13–14) volume — data fully observed by the end of each athlete’s age-14 season — the rule is implementable prospectively, before the qualification window opens (Table 6). PPVs across plausible thresholds range from 0.93 to 0.96, which is 9–12 percentage points above the base-rate prediction (PPV ≈ 0.84) and is accompanied by graduated sensitivity that base-rate prediction does not provide.</w:t>
      </w:r>
    </w:p>
    <w:p>
      <w:pPr>
        <w:pStyle w:val="BodyText"/>
      </w:pPr>
      <w:r>
        <w:rPr>
          <w:b/>
          <w:bCs/>
        </w:rPr>
        <w:t xml:space="preserve">Worked example.</w:t>
      </w:r>
      <w:r>
        <w:t xml:space="preserve"> </w:t>
      </w:r>
      <w:r>
        <w:t xml:space="preserve">Consider a regional federation cohort of 400 youth athletes after their 14-year-old season. Applying the moderate threshold (pre-milestone volume across ages 13–14 &lt; 10 meets), the federation would flag 26.4% of athletes (≈ 106 of 400). Among these flagged athletes, 94% would otherwise drop out before senior age. Lower thresholds (vol &lt; 5 meets, 9% flagged, PPV = 0.93) suit highly targeted resource-constrained intervention; higher thresholds (vol &lt; 15 meets, 43% flagged, PPV = 0.93) suit broader outreach. The choice is operational, not statistical. Importantly, the same rule applied at the end of an athlete’s age-15 season — when within-athlete volume change becomes observable — would have additional sensitivity, since pull-back across ages 14–15 carries independent predictive information (Section 3.6, Table 4).</w:t>
      </w:r>
    </w:p>
    <w:p>
      <w:pPr>
        <w:pStyle w:val="BodyText"/>
      </w:pPr>
      <w:r>
        <w:t xml:space="preserve">We note that behavioral surveillance is a</w:t>
      </w:r>
      <w:r>
        <w:t xml:space="preserve"> </w:t>
      </w:r>
      <w:r>
        <w:rPr>
          <w:i/>
          <w:iCs/>
        </w:rPr>
        <w:t xml:space="preserve">complement</w:t>
      </w:r>
      <w:r>
        <w:t xml:space="preserve"> </w:t>
      </w:r>
      <w:r>
        <w:t xml:space="preserve">to, not a replacement for, commitment- and motivation-focused instruments such as the SCQ-2 (Scanlan et al., 2016): behavioral data identify which athletes a coach should contact; an SCQ-2 administration (a sport-commitment instrument) helps shape what to discuss.</w:t>
      </w:r>
    </w:p>
    <w:bookmarkEnd w:id="70"/>
    <w:bookmarkStart w:id="71" w:name="limitations"/>
    <w:p>
      <w:pPr>
        <w:pStyle w:val="Heading2"/>
      </w:pPr>
      <w:r>
        <w:t xml:space="preserve">4.9 Limitations</w:t>
      </w:r>
    </w:p>
    <w:p>
      <w:pPr>
        <w:pStyle w:val="FirstParagraph"/>
      </w:pPr>
      <w:r>
        <w:t xml:space="preserve">Six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both involve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soft-selected. Athletes who participated in a regional grassroots meet at age 13–14 are already self- and parent-selected for organized-sport orientation through a registered club; our findings describe disengagement trajectories</w:t>
      </w:r>
      <w:r>
        <w:t xml:space="preserve"> </w:t>
      </w:r>
      <w:r>
        <w:rPr>
          <w:i/>
          <w:iCs/>
        </w:rPr>
        <w:t xml:space="preserve">from a baseline of demonstrable engagement</w:t>
      </w:r>
      <w:r>
        <w:t xml:space="preserve"> </w:t>
      </w:r>
      <w:r>
        <w:t xml:space="preserve">and do not generalize to the broader population of adolescents who never entered the competitive funnel. Readers should not extrapolate the calibration metrics (Table 6) to children with no organized-sport history. A second-stage retention analysis applied to the broader population (e.g., all registered club members regardless of regional-meet entry) would have different base rates and likely different threshold optima.</w:t>
      </w:r>
    </w:p>
    <w:p>
      <w:pPr>
        <w:pStyle w:val="BodyText"/>
      </w:pPr>
      <w:r>
        <w:t xml:space="preserve">Fourth, the predictor and outcome share a measurement scale (registered competitive activity). Although we have addressed this with a fully baseline-only primary model, with landmark and zero-volume-exclusion sensitivities, and with the pull-back-vs-typology decomposition, the structural overlap remains a conceptual limitation of register-only research designs.</w:t>
      </w:r>
    </w:p>
    <w:p>
      <w:pPr>
        <w:pStyle w:val="BodyText"/>
      </w:pPr>
      <w:r>
        <w:t xml:space="preserve">Fifth, for the secondary Cox specification with post-baseline covariates, the proportional-hazards assumption was violated for milestone-window volume (Schoenfeld χ² = 220.77). Period-specific estimates and a stratified model preserved direction and rough magnitude, but interpretation of the early-window HR should be qualified by the same operational-overlap concern; we report it descriptively rather than as evidence of a clean prospective effect.</w:t>
      </w:r>
    </w:p>
    <w:p>
      <w:pPr>
        <w:pStyle w:val="BodyText"/>
      </w:pPr>
      <w:r>
        <w:t xml:space="preserve">Sixth,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from genuine career athletes.</w:t>
      </w:r>
    </w:p>
    <w:bookmarkEnd w:id="71"/>
    <w:bookmarkStart w:id="72"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72"/>
    <w:bookmarkStart w:id="73"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independent birth-year cohorts, and is not driven by mechanical zero-values among already-dropped-out athletes. Both early behavioral heterogeneity and within-athlete pull-back contribute independently. The findings are consistent with — though they do not directly confirm — long-standing qualitative and theoretical accounts that frame dropout as a gradual deliberative process rather than a single decision. They suggest a practical role for prospective register-based behavioral surveillance as an early-warning marker, implementable at the end of an athlete’s 14-year-old season before the qualification-milestone window opens.</w:t>
      </w:r>
    </w:p>
    <w:p>
      <w:r>
        <w:pict>
          <v:rect style="width:0;height:1.5pt" o:hralign="center" o:hrstd="t" o:hr="t"/>
        </w:pict>
      </w:r>
    </w:p>
    <w:bookmarkEnd w:id="73"/>
    <w:bookmarkStart w:id="74"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2026-05-18T14:01:07Z</dcterms:created>
  <dcterms:modified xsi:type="dcterms:W3CDTF">2026-05-18T14:01:07Z</dcterms:modified>
</cp:coreProperties>
</file>

<file path=docProps/custom.xml><?xml version="1.0" encoding="utf-8"?>
<Properties xmlns="http://schemas.openxmlformats.org/officeDocument/2006/custom-properties" xmlns:vt="http://schemas.openxmlformats.org/officeDocument/2006/docPropsVTypes"/>
</file>