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S1–S17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ages 13–14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Future retainers and future dropouts already differ at ages 13–14; the gap widens further across the age-14-to-15 transition.</w:t>
      </w:r>
    </w:p>
    <w:p>
      <w:r>
        <w:pict>
          <v:rect style="width:0;height:1.5pt" o:hralign="center" o:hrstd="t" o:hr="t"/>
        </w:pict>
      </w:r>
    </w:p>
    <w:bookmarkEnd w:id="10"/>
    <w:bookmarkStart w:id="11" w:name="Xb8cde947c4ddc1e5df834e78ab22bae1a1fbba6"/>
    <w:p>
      <w:pPr>
        <w:pStyle w:val="Heading2"/>
      </w:pPr>
      <w:r>
        <w:t xml:space="preserve">Table 3. Primary analysis: prospective logistic regression for active senior status (baseline-only predictors,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[0.56, 0.93]</w:t>
            </w:r>
          </w:p>
        </w:tc>
        <w:tc>
          <w:tcPr/>
          <w:p>
            <w:pPr>
              <w:pStyle w:val="Compact"/>
            </w:pPr>
            <w:r>
              <w:t xml:space="preserve">.012</w:t>
            </w:r>
          </w:p>
        </w:tc>
        <w:tc>
          <w:tcPr/>
          <w:p>
            <w:pPr>
              <w:pStyle w:val="Compact"/>
            </w:pPr>
            <w:r>
              <w:t xml:space="preserve">0.541 (±0.023)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[0.52, 0.88]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[0.53, 0.88]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  <w:r>
              <w:t xml:space="preserve">0.600 (±0.019)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[0.95, 1.24]</w:t>
            </w:r>
          </w:p>
        </w:tc>
        <w:tc>
          <w:tcPr/>
          <w:p>
            <w:pPr>
              <w:pStyle w:val="Compact"/>
            </w:pPr>
            <w:r>
              <w:t xml:space="preserve">.238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L4: + Pre-milestone volume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0.751</w:t>
            </w:r>
            <w:r>
              <w:t xml:space="preserve"> </w:t>
            </w:r>
            <w:r>
              <w:t xml:space="preserve">(±0.026)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[1.17, 1.57]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Logistic regression for binary active senior status (≥2 registered results in any year at age 20+). Predictors are observed during the baseline window (ages 13–14) only. Pre-milestone volume is the sum of distinct meets attended at ages 13 and 14. Continuous covariates are z-standardized so ORs reflect per-SD effects. Cross-validated AUC uses 5-fold stratified resampling. The pre-milestone volume coefficient is the dominant single-step gain (AUC 0.600 → 0.751). HHI becomes significant once volume is entered (mutual adjustment); the direction indicates that higher concentration in fewer event categories is associated with higher retention odds (see also Discussion 4.6).</w:t>
      </w:r>
    </w:p>
    <w:p>
      <w:r>
        <w:pict>
          <v:rect style="width:0;height:1.5pt" o:hralign="center" o:hrstd="t" o:hr="t"/>
        </w:pict>
      </w:r>
    </w:p>
    <w:bookmarkEnd w:id="11"/>
    <w:bookmarkStart w:id="12" w:name="Xead665dc21eb92f77ea82cce847e701a62b1bef"/>
    <w:p>
      <w:pPr>
        <w:pStyle w:val="Heading2"/>
      </w:pPr>
      <w:r>
        <w:t xml:space="preserve">Table 4. Pull-back versus baseline heterogeneity: volume level and within-athlete change</w:t>
      </w:r>
    </w:p>
    <w:p>
      <w:pPr>
        <w:pStyle w:val="FirstParagraph"/>
      </w:pPr>
      <w:r>
        <w:t xml:space="preserve">Athletes still active at age 14 (n = 1,914).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Volume at age 14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[1.94, 2.57]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Volume change 14→15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[0.44,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[0.86, 1.19]</w:t>
            </w:r>
          </w:p>
        </w:tc>
        <w:tc>
          <w:tcPr/>
          <w:p>
            <w:pPr>
              <w:pStyle w:val="Compact"/>
            </w:pPr>
            <w:r>
              <w:t xml:space="preserve">.882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[2.37, 3.28]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change 14→15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[2.10, 2.83]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Pseudo-</w:t>
      </w:r>
      <w:r>
        <w:rPr>
          <w:i/>
          <w:iCs/>
        </w:rPr>
        <w:t xml:space="preserve">R</w:t>
      </w:r>
      <w:r>
        <w:t xml:space="preserve">² rose from 0.113 (M1) to 0.227 (M2) — within-athlete change adds substantial information conditional on baseline level. A one-SD greater decline from age 14 to age 15 was associated with 2.4-times lower retention odds, conditional on level at age 14. Both baseline level and within-athlete pull-back contribute substantially and independently.</w:t>
      </w:r>
    </w:p>
    <w:p>
      <w:r>
        <w:pict>
          <v:rect style="width:0;height:1.5pt" o:hralign="center" o:hrstd="t" o:hr="t"/>
        </w:pict>
      </w:r>
    </w:p>
    <w:bookmarkEnd w:id="12"/>
    <w:bookmarkStart w:id="13" w:name="X26906ff415d5e711796d5b4eb2458551a966eca"/>
    <w:p>
      <w:pPr>
        <w:pStyle w:val="Heading2"/>
      </w:pPr>
      <w:r>
        <w:t xml:space="preserve">Table 5. Time-varying hazard ratios (post-baseline Cox specification,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Period-specific Cox estimates from the post-baseline specification with covariates measured at ages 15–16 and ≤17. The early-window HR for ages-15–16 volume partly reflects operational overlap between predictor and outcome (low milestone volume is mechanical for athletes who drop out before age 15); this estimate should be read as descriptive of the time-varying association rather than as an independent prospective effect. Substantively, the protective association attenuates across follow-up — consistent with proximal disengagement-marker interpretation.</w:t>
      </w:r>
    </w:p>
    <w:p>
      <w:r>
        <w:pict>
          <v:rect style="width:0;height:1.5pt" o:hralign="center" o:hrstd="t" o:hr="t"/>
        </w:pict>
      </w:r>
    </w:p>
    <w:bookmarkEnd w:id="13"/>
    <w:bookmarkStart w:id="14" w:name="Xb1aa18e3395192ff7ac564cba097915b7cb4ac8"/>
    <w:p>
      <w:pPr>
        <w:pStyle w:val="Heading2"/>
      </w:pPr>
      <w:r>
        <w:t xml:space="preserve">Table 6. Prospective early-warning thresholds (pre-milestone volume,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 (athletes flagged if vol &lt; )</w:t>
            </w:r>
          </w:p>
        </w:tc>
        <w:tc>
          <w:tcPr/>
          <w:p>
            <w:pPr>
              <w:pStyle w:val="Compact"/>
            </w:pPr>
            <w:r>
              <w:t xml:space="preserve">Flagged %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PPV</w:t>
            </w:r>
          </w:p>
        </w:tc>
        <w:tc>
          <w:tcPr/>
          <w:p>
            <w:pPr>
              <w:pStyle w:val="Compac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meets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meets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meets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meets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meets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Calibration of pre-milestone (ages 13–14) competition volume as a prospective early-warning indicator, applicable at the end of an athlete’s age-14 season — before the qualification window opens. PPV is the proportion of flagged athletes who subsequently failed to retain senior activity. PPV remains ≥ 0.93 across thresholds; the choice trades sensitivity for cohort coverage. The high PPV partly reflects the population’s high base-rate of non-retention (84%); the behavioral threshold improves precision by 9–12 percentage points over base-rate prediction while providing graduated sensitivity that base-rate prediction does not.</w:t>
      </w:r>
    </w:p>
    <w:p>
      <w:r>
        <w:pict>
          <v:rect style="width:0;height:1.5pt" o:hralign="center" o:hrstd="t" o:hr="t"/>
        </w:pict>
      </w:r>
    </w:p>
    <w:bookmarkEnd w:id="14"/>
    <w:bookmarkStart w:id="15" w:name="Xe9b21a988fbcae595b6ca55e69894fe6653a1ba"/>
    <w:p>
      <w:pPr>
        <w:pStyle w:val="Heading2"/>
      </w:pPr>
      <w:r>
        <w:t xml:space="preserve">Table 7. Cross-cohort replication of the primary L4 logistic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[0.34, 0.74]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[0.94, 1.39]</w:t>
            </w:r>
          </w:p>
        </w:tc>
        <w:tc>
          <w:tcPr/>
          <w:p>
            <w:pPr>
              <w:pStyle w:val="Compact"/>
            </w:pPr>
            <w:r>
              <w:t xml:space="preserve">.179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[1.03, 1.51]</w:t>
            </w:r>
          </w:p>
        </w:tc>
        <w:tc>
          <w:tcPr/>
          <w:p>
            <w:pPr>
              <w:pStyle w:val="Compact"/>
            </w:pPr>
            <w:r>
              <w:t xml:space="preserve">.027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[1.86, 2.64]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[0.55, 1.22]</w:t>
            </w:r>
          </w:p>
        </w:tc>
        <w:tc>
          <w:tcPr/>
          <w:p>
            <w:pPr>
              <w:pStyle w:val="Compact"/>
            </w:pPr>
            <w:r>
              <w:t xml:space="preserve">.333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[0.84, 1.32]</w:t>
            </w:r>
          </w:p>
        </w:tc>
        <w:tc>
          <w:tcPr/>
          <w:p>
            <w:pPr>
              <w:pStyle w:val="Compac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[1.25, 1.99]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[2.17, 3.58]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primary baseline-only logistic model re-estimated separately within each birth-year cohort. Pre-milestone volume effect replicates in both cohorts at similar magnitude. The cohort difference in the female coefficient parallels the broader sex-effect pattern discussed in §4.5; HHI is significant in both cohorts in the same direction (higher concentration = higher retention).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4" w:name="supplementary-tables"/>
    <w:p>
      <w:pPr>
        <w:pStyle w:val="Heading1"/>
      </w:pPr>
      <w:r>
        <w:t xml:space="preserve">Supplementary Tables</w:t>
      </w:r>
    </w:p>
    <w:bookmarkStart w:id="17" w:name="X15a628438591e7215282a2bd8c683409f3f0afc"/>
    <w:p>
      <w:pPr>
        <w:pStyle w:val="Heading2"/>
      </w:pPr>
      <w:r>
        <w:t xml:space="preserve">Table S1. Proportional-hazards assumption test for the post-baseline Cox specification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bdfb7ef1209e388f6ef6b9899e3527031740490"/>
    <w:p>
      <w:pPr>
        <w:pStyle w:val="Heading2"/>
      </w:pPr>
      <w:r>
        <w:t xml:space="preserve">Table S7. Sex-stratified Cox subgroup analyses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C-index = 0.843 in both subgroups.</w:t>
      </w:r>
    </w:p>
    <w:bookmarkEnd w:id="23"/>
    <w:bookmarkStart w:id="24" w:name="X878d9f2c57ab1119cc6de90b81f42c987f5ce49"/>
    <w:p>
      <w:pPr>
        <w:pStyle w:val="Heading2"/>
      </w:pPr>
      <w:r>
        <w:t xml:space="preserve">Table S8. Landmark analysis at age 16 (post-baseline Cox, n = 1,167)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[1.15, 1.52]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[0.94, 1.08]</w:t>
            </w:r>
          </w:p>
        </w:tc>
        <w:tc>
          <w:tcPr/>
          <w:p>
            <w:pPr>
              <w:pStyle w:val="Compact"/>
            </w:pPr>
            <w:r>
              <w:t xml:space="preserve">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1.02]</w:t>
            </w:r>
          </w:p>
        </w:tc>
        <w:tc>
          <w:tcPr/>
          <w:p>
            <w:pPr>
              <w:pStyle w:val="Compact"/>
            </w:pPr>
            <w:r>
              <w:t xml:space="preserve">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[0.54, 0.66]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[0.71,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complete</w:t>
            </w:r>
          </w:p>
        </w:tc>
        <w:tc>
          <w:tcPr/>
          <w:p>
            <w:pPr>
              <w:pStyle w:val="Compact"/>
            </w:pPr>
            <w:r>
              <w:t xml:space="preserve">960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Athletes with ≥1 registered result at age 16, with follow-up time measured from age 16 forward.</w:t>
      </w:r>
    </w:p>
    <w:bookmarkEnd w:id="24"/>
    <w:bookmarkStart w:id="25" w:name="X1058f84d51582e9d3993a1a3c5d2fec6244da35"/>
    <w:p>
      <w:pPr>
        <w:pStyle w:val="Heading2"/>
      </w:pPr>
      <w:r>
        <w:t xml:space="preserve">Table S9. Outcome-definition sensitivity (logistic regression, full model)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Retainer n (%)</w:t>
            </w:r>
          </w:p>
        </w:tc>
        <w:tc>
          <w:tcPr/>
          <w:p>
            <w:pPr>
              <w:pStyle w:val="Compact"/>
            </w:pPr>
            <w:r>
              <w:t xml:space="preserve">OR (pre-milestone vol per SD)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≥1 senior-age (20+) result</w:t>
            </w:r>
          </w:p>
        </w:tc>
        <w:tc>
          <w:tcPr/>
          <w:p>
            <w:pPr>
              <w:pStyle w:val="Compact"/>
            </w:pPr>
            <w:r>
              <w:t xml:space="preserve">411 (19.4%)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≥2 results in any senior-age year (primary)</w:t>
            </w:r>
          </w:p>
        </w:tc>
        <w:tc>
          <w:tcPr/>
          <w:p>
            <w:pPr>
              <w:pStyle w:val="Compact"/>
            </w:pPr>
            <w:r>
              <w:t xml:space="preserve">348 (16.4%)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≥2 results in each of two distinct senior-age years</w:t>
            </w:r>
          </w:p>
        </w:tc>
        <w:tc>
          <w:tcPr/>
          <w:p>
            <w:pPr>
              <w:pStyle w:val="Compact"/>
            </w:pPr>
            <w:r>
              <w:t xml:space="preserve">254 (12.0%)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</w:tbl>
    <w:bookmarkEnd w:id="25"/>
    <w:bookmarkStart w:id="26" w:name="X71b7ac0ea8770779ec02beb7f61ea69e8774bd0"/>
    <w:p>
      <w:pPr>
        <w:pStyle w:val="Heading2"/>
      </w:pPr>
      <w:r>
        <w:t xml:space="preserve">Table S10. Lagged volume — pre-milestone (ages 13–14) alone (Cox)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[1.04, 1.27]</w:t>
            </w:r>
          </w:p>
        </w:tc>
        <w:tc>
          <w:tcPr/>
          <w:p>
            <w:pPr>
              <w:pStyle w:val="Compact"/>
            </w:pPr>
            <w:r>
              <w:t xml:space="preserve">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[0.95, 1.05]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(z, ages 13–14)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0.743.</w:t>
      </w:r>
    </w:p>
    <w:bookmarkEnd w:id="26"/>
    <w:bookmarkStart w:id="27" w:name="Xa64f954e491e5500a083feee6b6748a4b5f6096"/>
    <w:p>
      <w:pPr>
        <w:pStyle w:val="Heading2"/>
      </w:pPr>
      <w:r>
        <w:t xml:space="preserve">Table S11. Sensitivity excluding zero-volume athletes (post-baseline 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[1.07, 1.36]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[0.98, 1.10]</w:t>
            </w:r>
          </w:p>
        </w:tc>
        <w:tc>
          <w:tcPr/>
          <w:p>
            <w:pPr>
              <w:pStyle w:val="Compact"/>
            </w:pPr>
            <w:r>
              <w:t xml:space="preserve">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[0.90, 1.02]</w:t>
            </w:r>
          </w:p>
        </w:tc>
        <w:tc>
          <w:tcPr/>
          <w:p>
            <w:pPr>
              <w:pStyle w:val="Compact"/>
            </w:pPr>
            <w:r>
              <w:t xml:space="preserve">.200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[0.73,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Excludes 589 athletes with vol_milestone = 0; remaining n = 1,250; C-index = 0.786.</w:t>
      </w:r>
    </w:p>
    <w:bookmarkEnd w:id="27"/>
    <w:bookmarkStart w:id="28" w:name="X1474e7478f5250bc01001f6d135024a6236a269"/>
    <w:p>
      <w:pPr>
        <w:pStyle w:val="Heading2"/>
      </w:pPr>
      <w:r>
        <w:t xml:space="preserve">Table S12.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bookmarkEnd w:id="28"/>
    <w:bookmarkStart w:id="29" w:name="X222e4e7683d0a0d9c9b236b6a358e65d6328bfb"/>
    <w:p>
      <w:pPr>
        <w:pStyle w:val="Heading2"/>
      </w:pPr>
      <w:r>
        <w:t xml:space="preserve">Table S13. Primary logistic regression with structural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[0.45, 0.79]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1.31]</w:t>
            </w:r>
          </w:p>
        </w:tc>
        <w:tc>
          <w:tcPr/>
          <w:p>
            <w:pPr>
              <w:pStyle w:val="Compact"/>
            </w:pPr>
            <w:r>
              <w:t xml:space="preserve">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[1.16, 1.56]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[0.59, 1.11]</w:t>
            </w:r>
          </w:p>
        </w:tc>
        <w:tc>
          <w:tcPr/>
          <w:p>
            <w:pPr>
              <w:pStyle w:val="Compact"/>
            </w:pPr>
            <w:r>
              <w:t xml:space="preserve">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[0.62, 1.40]</w:t>
            </w:r>
          </w:p>
        </w:tc>
        <w:tc>
          <w:tcPr/>
          <w:p>
            <w:pPr>
              <w:pStyle w:val="Compact"/>
            </w:pPr>
            <w:r>
              <w:t xml:space="preserve">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[0.92, 1.77]</w:t>
            </w:r>
          </w:p>
        </w:tc>
        <w:tc>
          <w:tcPr/>
          <w:p>
            <w:pPr>
              <w:pStyle w:val="Compact"/>
            </w:pPr>
            <w:r>
              <w:t xml:space="preserve">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[0.74, 1.64]</w:t>
            </w:r>
          </w:p>
        </w:tc>
        <w:tc>
          <w:tcPr/>
          <w:p>
            <w:pPr>
              <w:pStyle w:val="Compact"/>
            </w:pPr>
            <w:r>
              <w:t xml:space="preserve">.626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[0.90, 1.18]</w:t>
            </w:r>
          </w:p>
        </w:tc>
        <w:tc>
          <w:tcPr/>
          <w:p>
            <w:pPr>
              <w:pStyle w:val="Compact"/>
            </w:pPr>
            <w:r>
              <w:t xml:space="preserve">.681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CV-AUC = 0.740. Pre-milestone volume effect is unchanged: OR 2.40 with controls vs. 2.40 without (≤ 1% change). All structural controls non-significant.</w:t>
      </w:r>
    </w:p>
    <w:bookmarkEnd w:id="29"/>
    <w:bookmarkStart w:id="30" w:name="Xf23602cc24059e75e7e43c07196e98f5ede4bcb"/>
    <w:p>
      <w:pPr>
        <w:pStyle w:val="Heading2"/>
      </w:pPr>
      <w:r>
        <w:t xml:space="preserve">Table S14. Pull-back analysis details (logistic regression in athletes still active at age 14, n = 1,914)</w:t>
      </w:r>
    </w:p>
    <w:p>
      <w:pPr>
        <w:pStyle w:val="FirstParagraph"/>
      </w:pPr>
      <w:r>
        <w:t xml:space="preserve">(Same content as Table 4 above with full coefficient detail; provided as supplementary for completeness.)</w:t>
      </w:r>
    </w:p>
    <w:bookmarkEnd w:id="30"/>
    <w:bookmarkStart w:id="31" w:name="X14a187cccba8ab8acd9d39950cd3e8c5b715a82"/>
    <w:p>
      <w:pPr>
        <w:pStyle w:val="Heading2"/>
      </w:pPr>
      <w:r>
        <w:t xml:space="preserve">Table S15. Time-aligned behavior versus performance (5-fold CV-AUC)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 (all ages 13–14 measurements)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baseline Tyrving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0.740 (±0.024)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Tyrving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0.737 (±0.021)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Even in a fully time-aligned comparison (both predictors observed during the baseline window of ages 13–14), behavior substantially out-predicts performance.</w:t>
      </w:r>
    </w:p>
    <w:bookmarkEnd w:id="31"/>
    <w:bookmarkStart w:id="32" w:name="X17e9a4b8e4f294fe106d952e9382005d4b3183b"/>
    <w:p>
      <w:pPr>
        <w:pStyle w:val="Heading2"/>
      </w:pPr>
      <w:r>
        <w:t xml:space="preserve">Table S16. Cox time-to-cessation with structural controls (baseline-only predictors)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[1.04, 1.28]</w:t>
            </w:r>
          </w:p>
        </w:tc>
        <w:tc>
          <w:tcPr/>
          <w:p>
            <w:pPr>
              <w:pStyle w:val="Compact"/>
            </w:pPr>
            <w:r>
              <w:t xml:space="preserve">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[0.94, 1.04]</w:t>
            </w:r>
          </w:p>
        </w:tc>
        <w:tc>
          <w:tcPr/>
          <w:p>
            <w:pPr>
              <w:pStyle w:val="Compact"/>
            </w:pPr>
            <w:r>
              <w:t xml:space="preserve">.749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[0.90, 1.13]</w:t>
            </w:r>
          </w:p>
        </w:tc>
        <w:tc>
          <w:tcPr/>
          <w:p>
            <w:pPr>
              <w:pStyle w:val="Compact"/>
            </w:pPr>
            <w:r>
              <w:t xml:space="preserve">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[0.76, 1.01]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[0.82, 1.05]</w:t>
            </w:r>
          </w:p>
        </w:tc>
        <w:tc>
          <w:tcPr/>
          <w:p>
            <w:pPr>
              <w:pStyle w:val="Compact"/>
            </w:pPr>
            <w:r>
              <w:t xml:space="preserve">.219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[0.89, 1.16]</w:t>
            </w:r>
          </w:p>
        </w:tc>
        <w:tc>
          <w:tcPr/>
          <w:p>
            <w:pPr>
              <w:pStyle w:val="Compact"/>
            </w:pPr>
            <w:r>
              <w:t xml:space="preserve">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[0.97, 1.07]</w:t>
            </w:r>
          </w:p>
        </w:tc>
        <w:tc>
          <w:tcPr/>
          <w:p>
            <w:pPr>
              <w:pStyle w:val="Compact"/>
            </w:pPr>
            <w:r>
              <w:t xml:space="preserve">.517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0.742. Higher HHI (specialization) associated with lower dropout hazard.</w:t>
      </w:r>
    </w:p>
    <w:bookmarkEnd w:id="32"/>
    <w:bookmarkStart w:id="33" w:name="Xf13287c4a9ad644959b75465c58f32083ba4e76"/>
    <w:p>
      <w:pPr>
        <w:pStyle w:val="Heading2"/>
      </w:pPr>
      <w:r>
        <w:t xml:space="preserve">Table S17.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This table includes post-baseline behavioral predictors (ages 15–16) and therefore overlaps with the early portion of the at-risk window; AUCs are descriptive rather than ordinary prospective prediction quantities.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2026-05-18T14:01:07Z</dcterms:created>
  <dcterms:modified xsi:type="dcterms:W3CDTF">2026-05-18T14:01:07Z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