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Atle Guttormsen, PhD</w:t>
      </w:r>
      <w:r>
        <w:t xml:space="preserve"> </w:t>
      </w:r>
      <w:r>
        <w:t xml:space="preserve">School of Economics and Business</w:t>
      </w:r>
      <w:r>
        <w:t xml:space="preserve"> </w:t>
      </w:r>
      <w:r>
        <w:t xml:space="preserve">Norwegian University of Life Sciences (NMBU)</w:t>
      </w:r>
      <w:r>
        <w:t xml:space="preserve"> </w:t>
      </w:r>
      <w:r>
        <w:t xml:space="preserve">Universitetstunet 3, 1433 Ås, Norway</w:t>
      </w:r>
      <w:r>
        <w:t xml:space="preserve"> </w:t>
      </w:r>
      <w:r>
        <w:t xml:space="preserve">atle.guttormsen@nmbu.no</w:t>
      </w:r>
      <w:r>
        <w:t xml:space="preserve"> </w:t>
      </w:r>
      <w:r>
        <w:t xml:space="preserve">ORCID: 0000-0003-0188-8462</w:t>
      </w:r>
    </w:p>
    <w:p>
      <w:pPr>
        <w:pStyle w:val="BodyText"/>
      </w:pPr>
      <w:r>
        <w:t xml:space="preserve">August 25, 2026</w:t>
      </w:r>
    </w:p>
    <w:p>
      <w:pPr>
        <w:pStyle w:val="BodyText"/>
      </w:pPr>
      <w:r>
        <w:t xml:space="preserve">Editor-in-Chief</w:t>
      </w:r>
      <w:r>
        <w:t xml:space="preserve"> </w:t>
      </w:r>
      <w:r>
        <w:rPr>
          <w:i/>
          <w:iCs/>
        </w:rPr>
        <w:t xml:space="preserve">International Journal of Sports Science &amp; Coaching</w:t>
      </w:r>
    </w:p>
    <w:p>
      <w:pPr>
        <w:pStyle w:val="BodyText"/>
      </w:pPr>
      <w:r>
        <w:t xml:space="preserve">Dear Editor,</w:t>
      </w:r>
    </w:p>
    <w:p>
      <w:pPr>
        <w:pStyle w:val="BodyText"/>
      </w:pPr>
      <w:r>
        <w:t xml:space="preserve">I am pleased to submit the manuscript</w:t>
      </w:r>
      <w:r>
        <w:t xml:space="preserve"> </w:t>
      </w:r>
      <w:r>
        <w:rPr>
          <w:b/>
          <w:bCs/>
        </w:rPr>
        <w:t xml:space="preserve">“Pulling back before dropping out: Behavioral disengagement precedes exit from Norwegian youth track and field — a 14-year register study”</w:t>
      </w:r>
      <w:r>
        <w:t xml:space="preserve"> </w:t>
      </w:r>
      <w:r>
        <w:t xml:space="preserve">for consideration as an Original Research article in the</w:t>
      </w:r>
      <w:r>
        <w:t xml:space="preserve"> </w:t>
      </w:r>
      <w:r>
        <w:rPr>
          <w:i/>
          <w:iCs/>
        </w:rPr>
        <w:t xml:space="preserve">International Journal of Sports Science &amp; Coaching</w:t>
      </w:r>
      <w:r>
        <w:t xml:space="preserve">.</w:t>
      </w:r>
    </w:p>
    <w:p>
      <w:pPr>
        <w:pStyle w:val="BodyText"/>
      </w:pPr>
      <w:r>
        <w:rPr>
          <w:b/>
          <w:bCs/>
        </w:rPr>
        <w:t xml:space="preserve">Why this journal.</w:t>
      </w:r>
      <w:r>
        <w:t xml:space="preserve"> </w:t>
      </w:r>
      <w:r>
        <w:t xml:space="preserve">The paper sits squarely in the journal’s remit of coaching-relevant sport science on youth development, participation, and athlete pathways. It answers a question coaches and federations face every season (</w:t>
      </w:r>
      <w:r>
        <w:rPr>
          <w:i/>
          <w:iCs/>
        </w:rPr>
        <w:t xml:space="preserve">which young athletes are on their way out of the sport, and how early can that be seen?</w:t>
      </w:r>
      <w:r>
        <w:t xml:space="preserve">) with an instrument every federation already owns: the competition register. The practical deliverable is a concrete, prospectively validated early-warning rule that can be run automatically at the end of an athlete’s 14-year-old season, before the first selective championship gate, together with coaching-level guidance on how to respond.</w:t>
      </w:r>
    </w:p>
    <w:p>
      <w:pPr>
        <w:pStyle w:val="BodyText"/>
      </w:pPr>
      <w:r>
        <w:rPr>
          <w:b/>
          <w:bCs/>
        </w:rPr>
        <w:t xml:space="preserve">What the study shows.</w:t>
      </w:r>
      <w:r>
        <w:t xml:space="preserve"> </w:t>
      </w:r>
      <w:r>
        <w:t xml:space="preserve">Using the Norwegian Athletics Federation’s complete competition register, I followed all 2,123 athletes who competed as 13–14-year-olds in six consecutive editions of a regional youth meet (2011–2016) for up to 14 years. Competition volume at ages 13–14 was the dominant prospective predictor of still competing at senior age (OR = 2.40 per SD; cross-validated AUC = 0.751), outperforming age-norm performance even when both were measured in the same window, and replicating across two adjacent birth cohorts. The signal decomposes into two independent components, early behavioral heterogeneity and a within-athlete pull-back across the age-14-to-15 transition, matching qualitative accounts of withdrawal as a gradual, deliberative process. A simple threshold (fewer than 10 meets across ages 13–14) flags about a quarter of the cohort with a positive predictive value of 0.94. A further finding of direct coaching relevance: event-category concentration</w:t>
      </w:r>
      <w:r>
        <w:t xml:space="preserve"> </w:t>
      </w:r>
      <w:r>
        <w:rPr>
          <w:i/>
          <w:iCs/>
        </w:rPr>
        <w:t xml:space="preserve">within</w:t>
      </w:r>
      <w:r>
        <w:t xml:space="preserve"> </w:t>
      </w:r>
      <w:r>
        <w:t xml:space="preserve">track and field predicted</w:t>
      </w:r>
      <w:r>
        <w:t xml:space="preserve"> </w:t>
      </w:r>
      <w:r>
        <w:rPr>
          <w:i/>
          <w:iCs/>
        </w:rPr>
        <w:t xml:space="preserve">higher</w:t>
      </w:r>
      <w:r>
        <w:t xml:space="preserve"> </w:t>
      </w:r>
      <w:r>
        <w:t xml:space="preserve">retention, a construct we carefully distinguish from multisport diversification.</w:t>
      </w:r>
    </w:p>
    <w:p>
      <w:pPr>
        <w:pStyle w:val="BodyText"/>
      </w:pPr>
      <w:r>
        <w:rPr>
          <w:b/>
          <w:bCs/>
        </w:rPr>
        <w:t xml:space="preserve">Compliance.</w:t>
      </w:r>
      <w:r>
        <w:t xml:space="preserve"> </w:t>
      </w:r>
      <w:r>
        <w:t xml:space="preserve">The manuscript is Original Research within the 6,000-word limit, with an unstructured abstract, seven keywords, seven tables, and three figures (300 dpi); extended methods, eighteen supplementary tables, and six supplementary figures are provided as supplemental material. References follow Sage Vancouver style. The required Statements and Declarations section is included. Reporting follows STROBE (observational studies) and SAGER (sex and gender) guidance. The underlying competition records are publicly accessible; the derived dataset contains personal data (dates of birth) under the EU GDPR and cannot be redistributed, but the full analysis code will be deposited in a public repository upon acceptance.</w:t>
      </w:r>
    </w:p>
    <w:p>
      <w:pPr>
        <w:pStyle w:val="BodyText"/>
      </w:pPr>
      <w:r>
        <w:rPr>
          <w:b/>
          <w:bCs/>
        </w:rPr>
        <w:t xml:space="preserve">Writing assistance declaration.</w:t>
      </w:r>
      <w:r>
        <w:t xml:space="preserve"> </w:t>
      </w:r>
      <w:r>
        <w:t xml:space="preserve">During the preparation of this work I used Claude Code (Anthropic), an AI-assisted tool, to assist with implementing statistical analyses in Python, generating figures, and editing the manuscript text for clarity and consistency. I reviewed and edited all content and take full responsibility for the content of the manuscript. This is also declared in the Acknowledgements.</w:t>
      </w:r>
    </w:p>
    <w:p>
      <w:pPr>
        <w:pStyle w:val="BodyText"/>
      </w:pPr>
      <w:r>
        <w:t xml:space="preserve">I confirm that the manuscript is my original work, is not published elsewhere, and is not under consideration by any other journal. I have no conflicts of interest to declare.</w:t>
      </w:r>
    </w:p>
    <w:p>
      <w:pPr>
        <w:pStyle w:val="BodyText"/>
      </w:pPr>
      <w:r>
        <w:t xml:space="preserve">Thank you for considering this work.</w:t>
      </w:r>
    </w:p>
    <w:p>
      <w:pPr>
        <w:pStyle w:val="BodyText"/>
      </w:pPr>
      <w:r>
        <w:t xml:space="preserve">Sincerely,</w:t>
      </w:r>
    </w:p>
    <w:p>
      <w:pPr>
        <w:pStyle w:val="BodyText"/>
      </w:pPr>
      <w:r>
        <w:rPr>
          <w:b/>
          <w:bCs/>
        </w:rPr>
        <w:t xml:space="preserve">Atle Guttormsen, PhD</w:t>
      </w:r>
      <w:r>
        <w:t xml:space="preserve"> </w:t>
      </w:r>
      <w:r>
        <w:t xml:space="preserve">School of Economics and Business</w:t>
      </w:r>
      <w:r>
        <w:t xml:space="preserve"> </w:t>
      </w:r>
      <w:r>
        <w:t xml:space="preserve">Norwegian University of Life Sciences (NMBU)</w:t>
      </w:r>
      <w:r>
        <w:t xml:space="preserve"> </w:t>
      </w:r>
      <w:r>
        <w:t xml:space="preserve">atle.guttormsen@nmbu.no</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2026-09-03T07:47:21Z</dcterms:created>
  <dcterms:modified xsi:type="dcterms:W3CDTF">2026-09-03T07:47:21Z</dcterms:modified>
</cp:coreProperties>
</file>

<file path=docProps/custom.xml><?xml version="1.0" encoding="utf-8"?>
<Properties xmlns="http://schemas.openxmlformats.org/officeDocument/2006/custom-properties" xmlns:vt="http://schemas.openxmlformats.org/officeDocument/2006/docPropsVTypes"/>
</file>