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robust to structural controls and club random effects, and replicated across two adjacent birth cohorts. Exit-aligned trajectories showed that withdrawal was gradual for most athletes: median volume fell 12 → 10 → 9 → 4 meets across dropouts’ last four seasons, 74% of those leaving at 16 or later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a construct distinct from multisport diversification. A register-based flag at the end of the age-14 season (&lt; 10 meets) identifies the 26% of athletes whose senior retention is 6%, versus 20% among the unflagged (PPV = 0.94 against an 84% base rate; sensitivity 0.30):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 a landmark analysis among athletes active at age 16 (van Houwelingen, 2007; Supplementary Table S8), and a post-baseline specification interpreted with overlap caveats (Table 5).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Supplementary Table S4) shows the design could detect hazard ratios ≥1.07 and odds ratios ≥1.20 per SD, well below effect sizes typical of prior dropout research.</w:t>
      </w:r>
      <w:r>
        <w:rPr>
          <w:vertAlign w:val="superscript"/>
        </w:rPr>
        <w:t xml:space="preserve">23</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(medians of 13 vs. 8 meets at age 13, and 17 vs. 8 at age 14),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(medians in Table 2): half the cohort ceased active competition within 3 years, 75% within 5, steepest at age 17,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71% senior retention with ≥31 meets vs. 4% with none (Figure 3),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volume variance lies between clubs (ICC = 0.25, 277 clubs), but with club random intercepts the coefficient was, if anything, larger (OR = 2.58, 95% CI [2.27, 2.93]; Supplementary Table S22): the association holds within clubs.</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a within-athlete taper rather than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6.5%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16.3% vs. 10.0% in the lowest-performing quartile, then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(diagnostics and descriptive companions: Supplementary Tables S1, S6, S10, S17; Supplementary Figures S1, S4). The baseline-start Cox model with post-baseline covariates is not a primary estimate (predictor and at-risk window overlap); its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a 3.5-fold difference in retention prospects (PPV = 0.94, sensitivity = 0.30). Lower thresholds (&lt; 5; 9.3% flagged) suit targeted outreach, higher (&lt; 15; 43.1%)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four in five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1/(result count),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2.29, 2.40, 2.26 across the three definitions; Supplementary Table S9), to the fixed-window outcome (ages 20–22: OR = 2.43; Supplementary Table S24), to multiple imputation (OR = 2.34, 95% CI [2.07, 2.66];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stronger than any measured covariate,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this is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(licensed by the open-entry structure of Section 2.2),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 pull-back is plausibly enforced rather than chosen.</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275310f308a547ead5220928057c68be59c7379"/>
    <w:p>
      <w:pPr>
        <w:pStyle w:val="Heading2"/>
      </w:pPr>
      <w:r>
        <w:t xml:space="preserve">4.3 Pull-back is real at the individual level, and so is early heterogeneity</w:t>
      </w:r>
    </w:p>
    <w:p>
      <w:pPr>
        <w:pStyle w:val="FirstParagraph"/>
      </w:pPr>
      <w:r>
        <w:t xml:space="preserve">Is the divergence in Figure 2 genuine within-athlete pull-back, or early differentiation only, or an artifact of averaging abrupt exits at heterogeneous ages? The exit-aligned analyses answer at the individual level: 95% of dropouts were still competing in their penultimate season, 74% had a reduced-but-nonzero penultimate season, and only 19% exited directly from peak volume. The typical exit is a two-to-three-season taper, not a cliff. Both components are nonetheless real: level and change carried independent information (Table 4), the pattern held in the contamination-free window (level OR = 3.04; change OR = 1.88),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w:t>
      </w:r>
      <w:r>
        <w:t xml:space="preserve">Declining volume years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two to three thinning seasons,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 and the reallocation share is unbounded in our data. Norwegian participation research is compatible with both: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0.60 full model; Table 3):</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0.43) and females (HR = 0.45), C-index 0.843 for each,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Both findings are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a 3.5-fold difference computed automatically from data the federation already holds (Table 6). Every flagged athlete is low-but-active (cohort entry guarantees a baseline meet), so the flag list is an outreach list, and the same threshold behaves similarly against an activity-at-17 outcome (14% vs 51% still active), so it serves the adolescent-exit target as well as the senior one. Two numbers discipline its use: sensitivity is 0.30, so most future dropouts are</w:t>
      </w:r>
      <w:r>
        <w:t xml:space="preserve"> </w:t>
      </w:r>
      <w:r>
        <w:rPr>
          <w:i/>
          <w:iCs/>
        </w:rPr>
        <w:t xml:space="preserve">not</w:t>
      </w:r>
      <w:r>
        <w:t xml:space="preserve"> </w:t>
      </w:r>
      <w:r>
        <w:t xml:space="preserve">flagged, and unflagged athletes’ own retention is only ~20%.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steepest attrition at 17.</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each acting on the cost side of the engagement balance.</w:t>
      </w:r>
      <w:r>
        <w:rPr>
          <w:vertAlign w:val="superscript"/>
        </w:rPr>
        <w:t xml:space="preserve">6,7</w:t>
      </w:r>
      <w:r>
        <w:t xml:space="preserve"> </w:t>
      </w:r>
      <w:r>
        <w:t xml:space="preserve">The register cannot distinguish athletes who are blocked from athletes choosing other priorities, and for the latter, a large group by design in a low-threshold system,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And the flag must be support-only: the same list that identifies whom to help could identify whom a stretched club quietly deprioritizes, and deployment must rule that use out.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pull-back is therefore plausibly non-volitional, and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years before exit, and is no averaging artifact. The effect withstands structural, club-level, missing-data, and outcome-definition checks and replicates across cohorts; early heterogeneity and pull-back contribute independently.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and the role-exit / withdrawal-as-process tradition (left) are not directly observed, but are predicted to leave a footprint in measurable competition behavior (centre), which precedes the outcome of active senior retention (right).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2026-09-03T07:47:20Z</dcterms:created>
  <dcterms:modified xsi:type="dcterms:W3CDTF">2026-09-03T07:47:20Z</dcterms:modified>
</cp:coreProperties>
</file>

<file path=docProps/custom.xml><?xml version="1.0" encoding="utf-8"?>
<Properties xmlns="http://schemas.openxmlformats.org/officeDocument/2006/custom-properties" xmlns:vt="http://schemas.openxmlformats.org/officeDocument/2006/docPropsVTypes"/>
</file>