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Heading1"/>
      </w:pPr>
      <w:r>
        <w:t xml:space="preserve">Supplementary Material</w:t>
      </w:r>
    </w:p>
    <w:bookmarkEnd w:id="9"/>
    <w:bookmarkStart w:id="19" w:name="supplementary-methods-extended"/>
    <w:p>
      <w:pPr>
        <w:pStyle w:val="Heading1"/>
      </w:pPr>
      <w:r>
        <w:t xml:space="preserve">Supplementary Methods (Extended)</w:t>
      </w:r>
    </w:p>
    <w:p>
      <w:pPr>
        <w:pStyle w:val="FirstParagraph"/>
      </w:pPr>
      <w:r>
        <w:rPr>
          <w:i/>
          <w:iCs/>
        </w:rPr>
        <w:t xml:space="preserve">This material accompanies the main article and expands the condensed Statistical Analysis section. Citations here appear in the supplementary reference list below.</w:t>
      </w:r>
    </w:p>
    <w:bookmarkStart w:id="10" w:name="X7f5d0ecad886b6db54336a1333a21f25095c326"/>
    <w:p>
      <w:pPr>
        <w:pStyle w:val="Heading2"/>
      </w:pPr>
      <w:r>
        <w:t xml:space="preserve">S-M1. Time-to-cessation survival analysis: full specification</w:t>
      </w:r>
    </w:p>
    <w:p>
      <w:pPr>
        <w:pStyle w:val="FirstParagraph"/>
      </w:pPr>
      <w:r>
        <w:t xml:space="preserve">We modeled time from baseline to last active season using Cox proportional hazards regression with Efron’s tie-handling (Efron, 1977), implemented in lifelines (Davidson-Pilon, 2019). The primary Cox specification (Supplementary Table S16) contains a baseline-only predictor set. We additionally estimated (a) a landmark analysis (van Houwelingen, 2007) restricted to athletes active at age 16 (≥1 registered result; n = 1,167, complete-case n = 960; Supplementary Table S8), and (b) a post-baseline Cox specification with ages-15–16 covariates (Table 5 gives the period-specific decomposition; Supplementary Figures S1 and S4 give its calibration and forest plots, and Supplementary Tables S6 and S10 the HHI-stratified and pre-milestone-only variants); the latter is interpreted with caveats about operational overlap between predictor and outcome windows. Two properties of the landmark analysis deserve note. First, the activity criterion at the landmark is ≥1 result (rather than the ≥2 used for active seasons) so that the conditioning event is minimal presence, not the outcome construct itself. Second, follow-up time is measured from age 16, so the age-16 portion of the exposure window (volume at ages 15–16) lies at the very start of the at-risk window; the fully contamination-free version of the same question is therefore the logistic change model of main-text Section 3.5 (level at 15 + change 15→16 among athletes active at 16, outcome at 20+), which involves no overlap at all. Proportional hazards were assessed via scaled Schoenfeld residuals (Grambsch &amp; Therneau, 1994). Pooled hazard ratios from the post-baseline specification average over the strongly time-varying pattern shown in Table 5 and are reported descriptively; no robustness quantity (e.g., E-value) is computed from that specification. Cluster-robust standard errors on club name (Lin &amp; Wei, 1989) and sex-stratified models are reported in Supplementary Tables S2 and S7. Kaplan–Meier curves were stratified by sex, ages-15–16 volume, and pre-17 championship types.</w:t>
      </w:r>
    </w:p>
    <w:bookmarkEnd w:id="10"/>
    <w:bookmarkStart w:id="11" w:name="s-m2.-sample-size-and-detection-capacity"/>
    <w:p>
      <w:pPr>
        <w:pStyle w:val="Heading2"/>
      </w:pPr>
      <w:r>
        <w:t xml:space="preserve">S-M2. Sample size and detection capacity</w:t>
      </w:r>
    </w:p>
    <w:p>
      <w:pPr>
        <w:pStyle w:val="FirstParagraph"/>
      </w:pPr>
      <w:r>
        <w:t xml:space="preserve">Classical hypothesis-testing sample-size power calculations are not directly applicable to population-based register studies where the full cohort is observed; we treat the estimates as descriptions of this population rather than inferences to a hypothetical super-population (Berk &amp; Freedman, 2003), while retaining confidence intervals and p-values as summaries of stochastic (process) variability in who retains. We therefore replace a-priori power with a detection-capacity analysis: given the observed event count, what is the smallest effect size the design could reliably detect, relative to effect sizes in prior dropout research? Following Hsieh &amp; Lavori (2000), our d = 1,570 Cox events at α = .05 and 80% power yield HR_min ≈ 1.07 per SD (≈ 1.15 for a balanced binary covariate); the omitted variance-inflation factor for covariate correlation would move this only trivially (to ≈ 1.08 at ρ ≈ .3–.45). For the primary logistic analysis (n = 1,704, 281 retainers), simulation (300 replicates per grid point, Wald test) gives a minimum detectable odds ratio of ≈ 1.20 per SD at 80% power. Prior prospective work on youth-sport dropout reports small-to-moderate effects (Cohen’s d ≈ 0.2–0.5; ORs ≈ 1.4–2.5; Back et al., 2022; Calvo et al., 2010; Espedalen &amp; Seippel, 2024; Sarrazin et al., 2002). Detection capacity is therefore well below typical effect magnitudes, so null findings should be interpreted as substantively small rather than underpowered.</w:t>
      </w:r>
    </w:p>
    <w:bookmarkEnd w:id="11"/>
    <w:bookmarkStart w:id="12" w:name="X6b3784c58cfb2bab0631bc6d09bf5b6784d27d3"/>
    <w:p>
      <w:pPr>
        <w:pStyle w:val="Heading2"/>
      </w:pPr>
      <w:r>
        <w:t xml:space="preserve">S-M3. Missing data, sample flow, and clustering</w:t>
      </w:r>
    </w:p>
    <w:p>
      <w:pPr>
        <w:pStyle w:val="FirstParagraph"/>
      </w:pPr>
      <w:r>
        <w:t xml:space="preserve">Missing values arose for Tyrving score (~20%, athletes whose baseline events could not be scored against the Tyrving table) and HHI (~10%). Primary analyses used complete-case regression (n = 1,704); a table mapping every analysis sample is Supplementary Table S12, and included and excluded athletes are compared in Supplementary Table S25 (senior retention 16.5% vs 16.0%, near-identical). The principal missing-data sensitivity is multiple imputation: chained-equation imputation of Tyrving and HHI (20 imputations, posterior sampling, outcome and all covariates in the imputation model; the 24 sex-unknown athletes are excluded before imputation and sex is never imputed, n = 2,099), with Rubin-pooled estimates (Supplementary Table S21); the volume coefficient is unchanged (OR 2.34 [2.07, 2.66] vs 2.40 complete-case). Mean imputation (Supplementary Table S5) and cluster-robust standard errors at the club level (Supplementary Table S2) give the same picture. The Table 4 sample is athletes with ≥1 result at age 14 (n = 1,914), of whom 1,549 are complete cases on Tyrving; Tyrving missingness is somewhat concentrated among athletes inactive at 14 (25.8% vs 19.1%). The 24 athletes with unknown sex are excluded from all regression models (which condition on sex) but included in cohort totals and unstratified Kaplan–Meier curves.</w:t>
      </w:r>
    </w:p>
    <w:bookmarkEnd w:id="12"/>
    <w:bookmarkStart w:id="13" w:name="Xcd1e97b9a8a1bbf2c2171881678b2cd082d0148"/>
    <w:p>
      <w:pPr>
        <w:pStyle w:val="Heading2"/>
      </w:pPr>
      <w:r>
        <w:t xml:space="preserve">S-M4. Classification performance and calibration of the early-warning thresholds</w:t>
      </w:r>
    </w:p>
    <w:p>
      <w:pPr>
        <w:pStyle w:val="FirstParagraph"/>
      </w:pPr>
      <w:r>
        <w:t xml:space="preserve">For the prospective early-warning thresholds (main text Table 6), we computed sensitivity, specificity, positive and negative predictive value, and the absolute senior-retention rates among flagged and unflagged athletes, at candidate thresholds on pre-milestone volume applied at the end of the age-14 season, i.e., implementable before any age-15–16 outcome information exists. All metrics are computed on a single denominator (the full cohort, n = 2,123) with 2,000-replicate bootstrap percentile confidence intervals. Calibration of the primary model itself was assessed on cross-validated (out-of-fold) predicted probabilities via the calibration slope and intercept (logistic recalibration of the outcome on the linear predictor) and the Brier score (Supplementary Table S23): slope 0.96, intercept −0.06, Brier 0.122, indicating well-calibrated predictions.</w:t>
      </w:r>
    </w:p>
    <w:bookmarkEnd w:id="13"/>
    <w:bookmarkStart w:id="14" w:name="Xe663a06f6a90737d701dfcddf577c92f9642b44"/>
    <w:p>
      <w:pPr>
        <w:pStyle w:val="Heading2"/>
      </w:pPr>
      <w:r>
        <w:t xml:space="preserve">S-M5. E-values for unmeasured confounding</w:t>
      </w:r>
    </w:p>
    <w:p>
      <w:pPr>
        <w:pStyle w:val="FirstParagraph"/>
      </w:pPr>
      <w:r>
        <w:t xml:space="preserve">E-values (VanderWeele &amp; Ding, 2017) are computed for the primary baseline-window estimates only. Because the outcome is common (16.4%), the primary odds ratio is first converted to an approximate risk ratio via RR ≈ √OR before applying E = RR + √(RR(RR − 1)): OR 2.40 → RR ≈ 1.55 → E ≈ 2.5 (CI bound 2.2). The baseline-only Cox hazard ratio (0.49 per SD) is converted with the common-outcome formula RR ≈ (1 − 0.5^√HR)/(1 − 0.5^√(1/HR)), giving E ≈ 2.6. An earlier version of this analysis computed E-values from the post-baseline (ages-15–16) specification; those values are not reported because that specification both overlaps the outcome window and violates proportional hazards, making a pooled hazard ratio an inappropriate E-value input.</w:t>
      </w:r>
    </w:p>
    <w:bookmarkEnd w:id="14"/>
    <w:bookmarkStart w:id="15" w:name="X01ea7f63ef35aef08b64af2ec48e274694c455d"/>
    <w:p>
      <w:pPr>
        <w:pStyle w:val="Heading2"/>
      </w:pPr>
      <w:r>
        <w:t xml:space="preserve">S-M6. Exit-aligned trajectories and the contamination-free change model</w:t>
      </w:r>
    </w:p>
    <w:p>
      <w:pPr>
        <w:pStyle w:val="FirstParagraph"/>
      </w:pPr>
      <w:r>
        <w:t xml:space="preserve">To test the within-athlete pull-back claim at the individual level, each dropout’s volume history was aligned to their own final active season (last calendar year with ≥2 results). For dropouts with final seasons at ages 15–19 (n = 1,139; ages outside 13–19 are unobserved in the per-age panel), we report median volumes at T−3, T−2, T−1, and T, the share still competing (&gt;0 meets) in the penultimate season, and, among dropouts with final seasons at 16+ (n = 795, for whom at least one season precedes the penultimate), the share whose penultimate-season volume was reduced but nonzero relative to their earlier personal peak, at their peak (abrupt profile), or zero (gap year). The contamination-free change model is a logistic regression among athletes with ≥2 results at age 16 (n = 1,075): active senior status on sex, volume at age 15 (per SD), and change in volume from 15 to 16 (per SD). All predictors are measured by age 16 and every athlete in the sample is, by construction, still active when measured; the outcome window begins at age 20.</w:t>
      </w:r>
    </w:p>
    <w:bookmarkEnd w:id="15"/>
    <w:bookmarkStart w:id="16" w:name="s-m7.-club-level-analyses"/>
    <w:p>
      <w:pPr>
        <w:pStyle w:val="Heading2"/>
      </w:pPr>
      <w:r>
        <w:t xml:space="preserve">S-M7. Club-level analyses</w:t>
      </w:r>
    </w:p>
    <w:p>
      <w:pPr>
        <w:pStyle w:val="FirstParagraph"/>
      </w:pPr>
      <w:r>
        <w:t xml:space="preserve">The intraclass correlation of pre-milestone volume across baseline clubs was estimated from a random-intercept linear mixed model (ICC = between-club variance / total variance). The primary logistic model was refit with club random intercepts via a Bayesian binomial mixed model (variational approximation), Supplementary Table S22.</w:t>
      </w:r>
    </w:p>
    <w:bookmarkEnd w:id="16"/>
    <w:bookmarkStart w:id="17" w:name="s-m8.-hhi-count-dependence-stress-tests"/>
    <w:p>
      <w:pPr>
        <w:pStyle w:val="Heading2"/>
      </w:pPr>
      <w:r>
        <w:t xml:space="preserve">S-M8. HHI count-dependence stress tests</w:t>
      </w:r>
    </w:p>
    <w:p>
      <w:pPr>
        <w:pStyle w:val="FirstParagraph"/>
      </w:pPr>
      <w:r>
        <w:t xml:space="preserve">Because HHI ≥ 1/n for an athlete with n results, low result counts mechanically inflate apparent concentration. Three checks (Supplementary Table S20): Spearman correlations of early HHI with early result and meet counts; refits of the primary model restricted to athletes with ≥5 and ≥8 results in their first three active seasons; and a refit replacing HHI with the finite-sample-corrected index HHI* = (HHI − 1/n)/(1 − 1/n).</w:t>
      </w:r>
    </w:p>
    <w:bookmarkEnd w:id="17"/>
    <w:bookmarkStart w:id="18" w:name="supplementary-references"/>
    <w:p>
      <w:pPr>
        <w:pStyle w:val="Heading2"/>
      </w:pPr>
      <w:r>
        <w:t xml:space="preserve">Supplementary references</w:t>
      </w:r>
    </w:p>
    <w:p>
      <w:pPr>
        <w:pStyle w:val="FirstParagraph"/>
      </w:pPr>
      <w:r>
        <w:t xml:space="preserve">Back, J., Johnson, U., Svedberg, P., McCall, A., &amp; Ivarsson, A. (2022). Drop-out from team sport among adolescents: A systematic review and meta-analysis of prospective studies.</w:t>
      </w:r>
      <w:r>
        <w:t xml:space="preserve"> </w:t>
      </w:r>
      <w:r>
        <w:rPr>
          <w:i/>
          <w:iCs/>
        </w:rPr>
        <w:t xml:space="preserve">Psychology of Sport and Exercise, 61</w:t>
      </w:r>
      <w:r>
        <w:t xml:space="preserve">, Article 102205.</w:t>
      </w:r>
    </w:p>
    <w:p>
      <w:pPr>
        <w:pStyle w:val="BodyText"/>
      </w:pPr>
      <w:r>
        <w:t xml:space="preserve">Berk, R. A., &amp; Freedman, D. A. (2003). Statistical assumptions as empirical commitments. In T. G. Blomberg &amp; S. Cohen (Eds.),</w:t>
      </w:r>
      <w:r>
        <w:t xml:space="preserve"> </w:t>
      </w:r>
      <w:r>
        <w:rPr>
          <w:i/>
          <w:iCs/>
        </w:rPr>
        <w:t xml:space="preserve">Punishment and social control: Essays in honor of Sheldon L. Messinger</w:t>
      </w:r>
      <w:r>
        <w:t xml:space="preserve"> </w:t>
      </w:r>
      <w:r>
        <w:t xml:space="preserve">(2nd ed., pp. 235–254). Aldine de Gruyter.</w:t>
      </w:r>
    </w:p>
    <w:p>
      <w:pPr>
        <w:pStyle w:val="BodyText"/>
      </w:pPr>
      <w:r>
        <w:t xml:space="preserve">Calvo, T. G., Cervelló, E., Jiménez, R., Iglesias, D., &amp; Murcia, J. A. M. (2010). Using self-determination theory to explain sport persistence and dropout in adolescent athletes.</w:t>
      </w:r>
      <w:r>
        <w:t xml:space="preserve"> </w:t>
      </w:r>
      <w:r>
        <w:rPr>
          <w:i/>
          <w:iCs/>
        </w:rPr>
        <w:t xml:space="preserve">The Spanish Journal of Psychology, 13</w:t>
      </w:r>
      <w:r>
        <w:t xml:space="preserve">(2), 677–684.</w:t>
      </w:r>
    </w:p>
    <w:p>
      <w:pPr>
        <w:pStyle w:val="BodyText"/>
      </w:pPr>
      <w:r>
        <w:t xml:space="preserve">Davidson-Pilon, C. (2019). lifelines: Survival analysis in Python.</w:t>
      </w:r>
      <w:r>
        <w:t xml:space="preserve"> </w:t>
      </w:r>
      <w:r>
        <w:rPr>
          <w:i/>
          <w:iCs/>
        </w:rPr>
        <w:t xml:space="preserve">Journal of Open Source Software, 4</w:t>
      </w:r>
      <w:r>
        <w:t xml:space="preserve">(40), Article 1317.</w:t>
      </w:r>
    </w:p>
    <w:p>
      <w:pPr>
        <w:pStyle w:val="BodyText"/>
      </w:pPr>
      <w:r>
        <w:t xml:space="preserve">Efron, B. (1977). The efficiency of Cox’s likelihood function for censored data.</w:t>
      </w:r>
      <w:r>
        <w:t xml:space="preserve"> </w:t>
      </w:r>
      <w:r>
        <w:rPr>
          <w:i/>
          <w:iCs/>
        </w:rPr>
        <w:t xml:space="preserve">Journal of the American Statistical Association, 72</w:t>
      </w:r>
      <w:r>
        <w:t xml:space="preserve">(359), 557–565.</w:t>
      </w:r>
    </w:p>
    <w:p>
      <w:pPr>
        <w:pStyle w:val="BodyText"/>
      </w:pPr>
      <w:r>
        <w:t xml:space="preserve">Espedalen, L. E., &amp; Seippel, Ø. (2024). Dropout and social inequality: Young people’s reasons for leaving organized sports.</w:t>
      </w:r>
      <w:r>
        <w:t xml:space="preserve"> </w:t>
      </w:r>
      <w:r>
        <w:rPr>
          <w:i/>
          <w:iCs/>
        </w:rPr>
        <w:t xml:space="preserve">Annals of Leisure Research, 27</w:t>
      </w:r>
      <w:r>
        <w:t xml:space="preserve">(2), 197–214.</w:t>
      </w:r>
    </w:p>
    <w:p>
      <w:pPr>
        <w:pStyle w:val="BodyText"/>
      </w:pPr>
      <w:r>
        <w:t xml:space="preserve">Grambsch, P. M., &amp; Therneau, T. M. (1994). Proportional hazards tests and diagnostics based on weighted residuals.</w:t>
      </w:r>
      <w:r>
        <w:t xml:space="preserve"> </w:t>
      </w:r>
      <w:r>
        <w:rPr>
          <w:i/>
          <w:iCs/>
        </w:rPr>
        <w:t xml:space="preserve">Biometrika, 81</w:t>
      </w:r>
      <w:r>
        <w:t xml:space="preserve">(3), 515–526.</w:t>
      </w:r>
    </w:p>
    <w:p>
      <w:pPr>
        <w:pStyle w:val="BodyText"/>
      </w:pPr>
      <w:r>
        <w:t xml:space="preserve">Hsieh, F. Y., &amp; Lavori, P. W. (2000). Sample-size calculations for the Cox proportional hazards regression model with nonbinary covariates.</w:t>
      </w:r>
      <w:r>
        <w:t xml:space="preserve"> </w:t>
      </w:r>
      <w:r>
        <w:rPr>
          <w:i/>
          <w:iCs/>
        </w:rPr>
        <w:t xml:space="preserve">Controlled Clinical Trials, 21</w:t>
      </w:r>
      <w:r>
        <w:t xml:space="preserve">(6), 552–560.</w:t>
      </w:r>
    </w:p>
    <w:p>
      <w:pPr>
        <w:pStyle w:val="BodyText"/>
      </w:pPr>
      <w:r>
        <w:t xml:space="preserve">Lin, D. Y., &amp; Wei, L. J. (1989). The robust inference for the Cox proportional hazards model.</w:t>
      </w:r>
      <w:r>
        <w:t xml:space="preserve"> </w:t>
      </w:r>
      <w:r>
        <w:rPr>
          <w:i/>
          <w:iCs/>
        </w:rPr>
        <w:t xml:space="preserve">Journal of the American Statistical Association, 84</w:t>
      </w:r>
      <w:r>
        <w:t xml:space="preserve">(408), 1074–1078.</w:t>
      </w:r>
    </w:p>
    <w:p>
      <w:pPr>
        <w:pStyle w:val="BodyText"/>
      </w:pPr>
      <w:r>
        <w:t xml:space="preserve">Sarrazin, P., Vallerand, R. J., Guillet, E., Pelletier, L. G., &amp; Cury, F. (2002). Motivation and dropout in female handballers: A 21-month prospective study.</w:t>
      </w:r>
      <w:r>
        <w:t xml:space="preserve"> </w:t>
      </w:r>
      <w:r>
        <w:rPr>
          <w:i/>
          <w:iCs/>
        </w:rPr>
        <w:t xml:space="preserve">European Journal of Social Psychology, 32</w:t>
      </w:r>
      <w:r>
        <w:t xml:space="preserve">(3), 395–418.</w:t>
      </w:r>
    </w:p>
    <w:p>
      <w:pPr>
        <w:pStyle w:val="BodyText"/>
      </w:pPr>
      <w:r>
        <w:t xml:space="preserve">van Houwelingen, H. C. (2007). Dynamic prediction by landmarking in event history analysis.</w:t>
      </w:r>
      <w:r>
        <w:t xml:space="preserve"> </w:t>
      </w:r>
      <w:r>
        <w:rPr>
          <w:i/>
          <w:iCs/>
        </w:rPr>
        <w:t xml:space="preserve">Scandinavian Journal of Statistics, 34</w:t>
      </w:r>
      <w:r>
        <w:t xml:space="preserve">(1), 70–85.</w:t>
      </w:r>
    </w:p>
    <w:p>
      <w:pPr>
        <w:pStyle w:val="BodyText"/>
      </w:pPr>
      <w:r>
        <w:t xml:space="preserve">VanderWeele, T. J., &amp; Ding, P. (2017). Sensitivity analysis in observational research: Introducing the E-value.</w:t>
      </w:r>
      <w:r>
        <w:t xml:space="preserve"> </w:t>
      </w:r>
      <w:r>
        <w:rPr>
          <w:i/>
          <w:iCs/>
        </w:rPr>
        <w:t xml:space="preserve">Annals of Internal Medicine, 167</w:t>
      </w:r>
      <w:r>
        <w:t xml:space="preserve">(4), 268–274.</w:t>
      </w:r>
    </w:p>
    <w:bookmarkEnd w:id="18"/>
    <w:bookmarkEnd w:id="19"/>
    <w:bookmarkStart w:id="45" w:name="supplementary-tables"/>
    <w:p>
      <w:pPr>
        <w:pStyle w:val="Heading1"/>
      </w:pPr>
      <w:r>
        <w:t xml:space="preserve">Supplementary Tables</w:t>
      </w:r>
    </w:p>
    <w:bookmarkStart w:id="20" w:name="X15a628438591e7215282a2bd8c683409f3f0afc"/>
    <w:p>
      <w:pPr>
        <w:pStyle w:val="Heading2"/>
      </w:pPr>
      <w:r>
        <w:t xml:space="preserve">Table S1. Proportional-hazards assumption test for the post-baseline Cox specification (Schoenfeld residuals)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χ²₁</w:t>
            </w:r>
          </w:p>
        </w:tc>
        <w:tc>
          <w:tcPr/>
          <w:p>
            <w:pPr>
              <w:pStyle w:val="Compact"/>
            </w:pPr>
            <w:r>
              <w:t xml:space="preserve">p</w:t>
            </w:r>
          </w:p>
        </w:tc>
      </w:tr>
      <w:tr>
        <w:tc>
          <w:tcPr/>
          <w:p>
            <w:pPr>
              <w:pStyle w:val="Compact"/>
            </w:pPr>
            <w:r>
              <w:t xml:space="preserve">Female</w:t>
            </w:r>
          </w:p>
        </w:tc>
        <w:tc>
          <w:tcPr/>
          <w:p>
            <w:pPr>
              <w:pStyle w:val="Compact"/>
            </w:pPr>
            <w:r>
              <w:t xml:space="preserve">2.50</w:t>
            </w:r>
          </w:p>
        </w:tc>
        <w:tc>
          <w:tcPr/>
          <w:p>
            <w:pPr>
              <w:pStyle w:val="Compact"/>
            </w:pPr>
            <w:r>
              <w:t xml:space="preserve">.114</w:t>
            </w:r>
          </w:p>
        </w:tc>
      </w:tr>
      <w:tr>
        <w:tc>
          <w:tcPr/>
          <w:p>
            <w:pPr>
              <w:pStyle w:val="Compact"/>
            </w:pPr>
            <w:r>
              <w:t xml:space="preserve">Tyrving (z)</w:t>
            </w:r>
          </w:p>
        </w:tc>
        <w:tc>
          <w:tcPr/>
          <w:p>
            <w:pPr>
              <w:pStyle w:val="Compact"/>
            </w:pPr>
            <w:r>
              <w:t xml:space="preserve">0.12</w:t>
            </w:r>
          </w:p>
        </w:tc>
        <w:tc>
          <w:tcPr/>
          <w:p>
            <w:pPr>
              <w:pStyle w:val="Compact"/>
            </w:pPr>
            <w:r>
              <w:t xml:space="preserve">.728</w:t>
            </w:r>
          </w:p>
        </w:tc>
      </w:tr>
      <w:tr>
        <w:tc>
          <w:tcPr/>
          <w:p>
            <w:pPr>
              <w:pStyle w:val="Compact"/>
            </w:pPr>
            <w:r>
              <w:t xml:space="preserve">HHI early (z)</w:t>
            </w:r>
          </w:p>
        </w:tc>
        <w:tc>
          <w:tcPr/>
          <w:p>
            <w:pPr>
              <w:pStyle w:val="Compact"/>
            </w:pPr>
            <w:r>
              <w:t xml:space="preserve">11.12</w:t>
            </w:r>
          </w:p>
        </w:tc>
        <w:tc>
          <w:tcPr/>
          <w:p>
            <w:pPr>
              <w:pStyle w:val="Compact"/>
            </w:pPr>
            <w:r>
              <w:t xml:space="preserve">&lt; .001</w:t>
            </w:r>
          </w:p>
        </w:tc>
      </w:tr>
      <w:tr>
        <w:tc>
          <w:tcPr/>
          <w:p>
            <w:pPr>
              <w:pStyle w:val="Compact"/>
            </w:pPr>
            <w:r>
              <w:t xml:space="preserve">Volume at age 15–16 (z)</w:t>
            </w:r>
          </w:p>
        </w:tc>
        <w:tc>
          <w:tcPr/>
          <w:p>
            <w:pPr>
              <w:pStyle w:val="Compact"/>
            </w:pPr>
            <w:r>
              <w:t xml:space="preserve">220.77</w:t>
            </w:r>
          </w:p>
        </w:tc>
        <w:tc>
          <w:tcPr/>
          <w:p>
            <w:pPr>
              <w:pStyle w:val="Compact"/>
            </w:pPr>
            <w:r>
              <w:t xml:space="preserve">&lt; .001</w:t>
            </w:r>
          </w:p>
        </w:tc>
      </w:tr>
      <w:tr>
        <w:tc>
          <w:tcPr/>
          <w:p>
            <w:pPr>
              <w:pStyle w:val="Compact"/>
            </w:pPr>
            <w:r>
              <w:t xml:space="preserve">Championship types</w:t>
            </w:r>
          </w:p>
        </w:tc>
        <w:tc>
          <w:tcPr/>
          <w:p>
            <w:pPr>
              <w:pStyle w:val="Compact"/>
            </w:pPr>
            <w:r>
              <w:t xml:space="preserve">10.89</w:t>
            </w:r>
          </w:p>
        </w:tc>
        <w:tc>
          <w:tcPr/>
          <w:p>
            <w:pPr>
              <w:pStyle w:val="Compact"/>
            </w:pPr>
            <w:r>
              <w:t xml:space="preserve">.001</w:t>
            </w:r>
          </w:p>
        </w:tc>
      </w:tr>
    </w:tbl>
    <w:bookmarkEnd w:id="20"/>
    <w:bookmarkStart w:id="21" w:name="X5efa0e4ea7c9273d8e5bee5ada8e05eec14d582"/>
    <w:p>
      <w:pPr>
        <w:pStyle w:val="Heading2"/>
      </w:pPr>
      <w:r>
        <w:t xml:space="preserve">Table S2. Cluster-robust SE Cox (clustered on club)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Robust 95% CI</w:t>
            </w:r>
          </w:p>
        </w:tc>
        <w:tc>
          <w:tcPr/>
          <w:p>
            <w:pPr>
              <w:pStyle w:val="Compact"/>
            </w:pPr>
            <w:r>
              <w:t xml:space="preserve">p (robust)</w:t>
            </w:r>
          </w:p>
        </w:tc>
      </w:tr>
      <w:tr>
        <w:tc>
          <w:tcPr/>
          <w:p>
            <w:pPr>
              <w:pStyle w:val="Compact"/>
            </w:pPr>
            <w:r>
              <w:t xml:space="preserve">Female</w:t>
            </w:r>
          </w:p>
        </w:tc>
        <w:tc>
          <w:tcPr/>
          <w:p>
            <w:pPr>
              <w:pStyle w:val="Compact"/>
            </w:pPr>
            <w:r>
              <w:t xml:space="preserve">1.12</w:t>
            </w:r>
          </w:p>
        </w:tc>
        <w:tc>
          <w:tcPr/>
          <w:p>
            <w:pPr>
              <w:pStyle w:val="Compact"/>
            </w:pPr>
            <w:r>
              <w:t xml:space="preserve">[0.98, 1.28]</w:t>
            </w:r>
          </w:p>
        </w:tc>
        <w:tc>
          <w:tcPr/>
          <w:p>
            <w:pPr>
              <w:pStyle w:val="Compact"/>
            </w:pPr>
            <w:r>
              <w:t xml:space="preserve">.090</w:t>
            </w:r>
          </w:p>
        </w:tc>
      </w:tr>
      <w:tr>
        <w:tc>
          <w:tcPr/>
          <w:p>
            <w:pPr>
              <w:pStyle w:val="Compact"/>
            </w:pPr>
            <w:r>
              <w:t xml:space="preserve">Tyrving (z)</w:t>
            </w:r>
          </w:p>
        </w:tc>
        <w:tc>
          <w:tcPr/>
          <w:p>
            <w:pPr>
              <w:pStyle w:val="Compact"/>
            </w:pPr>
            <w:r>
              <w:t xml:space="preserve">1.05</w:t>
            </w:r>
          </w:p>
        </w:tc>
        <w:tc>
          <w:tcPr/>
          <w:p>
            <w:pPr>
              <w:pStyle w:val="Compact"/>
            </w:pPr>
            <w:r>
              <w:t xml:space="preserve">[0.99, 1.12]</w:t>
            </w:r>
          </w:p>
        </w:tc>
        <w:tc>
          <w:tcPr/>
          <w:p>
            <w:pPr>
              <w:pStyle w:val="Compact"/>
            </w:pPr>
            <w:r>
              <w:t xml:space="preserve">.127</w:t>
            </w:r>
          </w:p>
        </w:tc>
      </w:tr>
      <w:tr>
        <w:tc>
          <w:tcPr/>
          <w:p>
            <w:pPr>
              <w:pStyle w:val="Compact"/>
            </w:pPr>
            <w:r>
              <w:t xml:space="preserve">HHI early (z)</w:t>
            </w:r>
          </w:p>
        </w:tc>
        <w:tc>
          <w:tcPr/>
          <w:p>
            <w:pPr>
              <w:pStyle w:val="Compact"/>
            </w:pPr>
            <w:r>
              <w:t xml:space="preserve">0.95</w:t>
            </w:r>
          </w:p>
        </w:tc>
        <w:tc>
          <w:tcPr/>
          <w:p>
            <w:pPr>
              <w:pStyle w:val="Compact"/>
            </w:pPr>
            <w:r>
              <w:t xml:space="preserve">[0.88, 1.04]</w:t>
            </w:r>
          </w:p>
        </w:tc>
        <w:tc>
          <w:tcPr/>
          <w:p>
            <w:pPr>
              <w:pStyle w:val="Compact"/>
            </w:pPr>
            <w:r>
              <w:t xml:space="preserve">.258</w:t>
            </w:r>
          </w:p>
        </w:tc>
      </w:tr>
      <w:tr>
        <w:tc>
          <w:tcPr/>
          <w:p>
            <w:pPr>
              <w:pStyle w:val="Compact"/>
            </w:pPr>
            <w:r>
              <w:t xml:space="preserve">Volume at age 15–16 (z)</w:t>
            </w:r>
          </w:p>
        </w:tc>
        <w:tc>
          <w:tcPr/>
          <w:p>
            <w:pPr>
              <w:pStyle w:val="Compact"/>
            </w:pPr>
            <w:r>
              <w:t xml:space="preserve">0.44</w:t>
            </w:r>
          </w:p>
        </w:tc>
        <w:tc>
          <w:tcPr/>
          <w:p>
            <w:pPr>
              <w:pStyle w:val="Compact"/>
            </w:pPr>
            <w:r>
              <w:t xml:space="preserve">[0.40, 0.48]</w:t>
            </w:r>
          </w:p>
        </w:tc>
        <w:tc>
          <w:tcPr/>
          <w:p>
            <w:pPr>
              <w:pStyle w:val="Compact"/>
            </w:pPr>
            <w:r>
              <w:t xml:space="preserve">&lt; .001</w:t>
            </w:r>
          </w:p>
        </w:tc>
      </w:tr>
      <w:tr>
        <w:tc>
          <w:tcPr/>
          <w:p>
            <w:pPr>
              <w:pStyle w:val="Compact"/>
            </w:pPr>
            <w:r>
              <w:t xml:space="preserve">Championship types</w:t>
            </w:r>
          </w:p>
        </w:tc>
        <w:tc>
          <w:tcPr/>
          <w:p>
            <w:pPr>
              <w:pStyle w:val="Compact"/>
            </w:pPr>
            <w:r>
              <w:t xml:space="preserve">0.74</w:t>
            </w:r>
          </w:p>
        </w:tc>
        <w:tc>
          <w:tcPr/>
          <w:p>
            <w:pPr>
              <w:pStyle w:val="Compact"/>
            </w:pPr>
            <w:r>
              <w:t xml:space="preserve">[0.69, 0.80]</w:t>
            </w:r>
          </w:p>
        </w:tc>
        <w:tc>
          <w:tcPr/>
          <w:p>
            <w:pPr>
              <w:pStyle w:val="Compact"/>
            </w:pPr>
            <w:r>
              <w:t xml:space="preserve">&lt; .001</w:t>
            </w:r>
          </w:p>
        </w:tc>
      </w:tr>
    </w:tbl>
    <w:p>
      <w:pPr>
        <w:pStyle w:val="BodyText"/>
      </w:pPr>
      <w:r>
        <w:rPr>
          <w:i/>
          <w:iCs/>
        </w:rPr>
        <w:t xml:space="preserve">Note.</w:t>
      </w:r>
      <w:r>
        <w:t xml:space="preserve"> </w:t>
      </w:r>
      <w:r>
        <w:t xml:space="preserve">Post-baseline specification; pooled HRs average over the strongly time-varying pattern shown in Table 5 and are descriptive.</w:t>
      </w:r>
    </w:p>
    <w:bookmarkEnd w:id="21"/>
    <w:bookmarkStart w:id="22" w:name="X179df27bee104fdab61b139cb7002bea5fa919b"/>
    <w:p>
      <w:pPr>
        <w:pStyle w:val="Heading2"/>
      </w:pPr>
      <w:r>
        <w:t xml:space="preserve">Table S3. E-values for the primary baseline-window volume effect (VanderWeele &amp; Ding, 2017)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Effect</w:t>
            </w:r>
          </w:p>
        </w:tc>
        <w:tc>
          <w:tcPr/>
          <w:p>
            <w:pPr>
              <w:pStyle w:val="Compact"/>
            </w:pPr>
            <w:r>
              <w:t xml:space="preserve">Estimate</w:t>
            </w:r>
          </w:p>
        </w:tc>
        <w:tc>
          <w:tcPr/>
          <w:p>
            <w:pPr>
              <w:pStyle w:val="Compact"/>
            </w:pPr>
            <w:r>
              <w:t xml:space="preserve">Approx. RR (common outcome)</w:t>
            </w:r>
          </w:p>
        </w:tc>
        <w:tc>
          <w:tcPr/>
          <w:p>
            <w:pPr>
              <w:pStyle w:val="Compact"/>
            </w:pPr>
            <w:r>
              <w:t xml:space="preserve">E-value (point)</w:t>
            </w:r>
          </w:p>
        </w:tc>
        <w:tc>
          <w:tcPr/>
          <w:p>
            <w:pPr>
              <w:pStyle w:val="Compact"/>
            </w:pPr>
            <w:r>
              <w:t xml:space="preserve">E-value (CI bound)</w:t>
            </w:r>
          </w:p>
        </w:tc>
      </w:tr>
      <w:tr>
        <w:tc>
          <w:tcPr/>
          <w:p>
            <w:pPr>
              <w:pStyle w:val="Compact"/>
            </w:pPr>
            <w:r>
              <w:t xml:space="preserve">Pre-milestone volume, primary logistic (per SD)</w:t>
            </w:r>
          </w:p>
        </w:tc>
        <w:tc>
          <w:tcPr/>
          <w:p>
            <w:pPr>
              <w:pStyle w:val="Compact"/>
            </w:pPr>
            <w:r>
              <w:t xml:space="preserve">OR 2.40 [2.08, 2.76]</w:t>
            </w:r>
          </w:p>
        </w:tc>
        <w:tc>
          <w:tcPr/>
          <w:p>
            <w:pPr>
              <w:pStyle w:val="Compact"/>
            </w:pPr>
            <w:r>
              <w:t xml:space="preserve">1.55</w:t>
            </w:r>
          </w:p>
        </w:tc>
        <w:tc>
          <w:tcPr/>
          <w:p>
            <w:pPr>
              <w:pStyle w:val="Compact"/>
            </w:pPr>
            <w:r>
              <w:t xml:space="preserve">2.47</w:t>
            </w:r>
          </w:p>
        </w:tc>
        <w:tc>
          <w:tcPr/>
          <w:p>
            <w:pPr>
              <w:pStyle w:val="Compact"/>
            </w:pPr>
            <w:r>
              <w:t xml:space="preserve">2.24</w:t>
            </w:r>
          </w:p>
        </w:tc>
      </w:tr>
      <w:tr>
        <w:tc>
          <w:tcPr/>
          <w:p>
            <w:pPr>
              <w:pStyle w:val="Compact"/>
            </w:pPr>
            <w:r>
              <w:t xml:space="preserve">Pre-milestone volume, baseline-only Cox (per SD)</w:t>
            </w:r>
          </w:p>
        </w:tc>
        <w:tc>
          <w:tcPr/>
          <w:p>
            <w:pPr>
              <w:pStyle w:val="Compact"/>
            </w:pPr>
            <w:r>
              <w:t xml:space="preserve">HR 0.49</w:t>
            </w:r>
          </w:p>
        </w:tc>
        <w:tc>
          <w:tcPr/>
          <w:p>
            <w:pPr>
              <w:pStyle w:val="Compact"/>
            </w:pPr>
            <w:r>
              <w:t xml:space="preserve">1.63</w:t>
            </w:r>
          </w:p>
        </w:tc>
        <w:tc>
          <w:tcPr/>
          <w:p>
            <w:pPr>
              <w:pStyle w:val="Compact"/>
            </w:pPr>
            <w:r>
              <w:t xml:space="preserve">2.63</w:t>
            </w:r>
          </w:p>
        </w:tc>
        <w:tc>
          <w:tcPr/>
          <w:p>
            <w:pPr>
              <w:pStyle w:val="Compact"/>
            </w:pPr>
            <w:r>
              <w:t xml:space="preserve">—</w:t>
            </w:r>
          </w:p>
        </w:tc>
      </w:tr>
    </w:tbl>
    <w:p>
      <w:pPr>
        <w:pStyle w:val="BodyText"/>
      </w:pPr>
      <w:r>
        <w:rPr>
          <w:i/>
          <w:iCs/>
        </w:rPr>
        <w:t xml:space="preserve">Note.</w:t>
      </w:r>
      <w:r>
        <w:t xml:space="preserve"> </w:t>
      </w:r>
      <w:r>
        <w:t xml:space="preserve">Because the outcome is common (16.4%), the odds ratio is converted to an approximate risk ratio (RR ≈ √OR) before computing E = RR + √(RR(RR − 1)); the hazard ratio uses the common-outcome conversion (Supplementary Methods S-M5). E-values are reported for the primary baseline-window specification only; the post-baseline (ages-15–16) specification is not an admissible E-value input because it overlaps the outcome window and violates proportional hazards.</w:t>
      </w:r>
    </w:p>
    <w:bookmarkEnd w:id="22"/>
    <w:bookmarkStart w:id="23" w:name="X51a846a8f036607c4d86aa6dc40dff1f8e38e62"/>
    <w:p>
      <w:pPr>
        <w:pStyle w:val="Heading2"/>
      </w:pPr>
      <w:r>
        <w:t xml:space="preserve">Table S4. Sample-size sensitivity: minimum detectable HR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N</w:t>
            </w:r>
          </w:p>
        </w:tc>
        <w:tc>
          <w:tcPr/>
          <w:p>
            <w:pPr>
              <w:pStyle w:val="Compact"/>
            </w:pPr>
            <w:r>
              <w:t xml:space="preserve">Events</w:t>
            </w:r>
          </w:p>
        </w:tc>
        <w:tc>
          <w:tcPr/>
          <w:p>
            <w:pPr>
              <w:pStyle w:val="Compact"/>
            </w:pPr>
            <w:r>
              <w:t xml:space="preserve">Min. detectable HR (80% power, α = .05)</w:t>
            </w:r>
          </w:p>
        </w:tc>
      </w:tr>
      <w:tr>
        <w:tc>
          <w:tcPr/>
          <w:p>
            <w:pPr>
              <w:pStyle w:val="Compact"/>
            </w:pPr>
            <w:r>
              <w:t xml:space="preserve">Combined</w:t>
            </w:r>
          </w:p>
        </w:tc>
        <w:tc>
          <w:tcPr/>
          <w:p>
            <w:pPr>
              <w:pStyle w:val="Compact"/>
            </w:pPr>
            <w:r>
              <w:t xml:space="preserve">1,704</w:t>
            </w:r>
          </w:p>
        </w:tc>
        <w:tc>
          <w:tcPr/>
          <w:p>
            <w:pPr>
              <w:pStyle w:val="Compact"/>
            </w:pPr>
            <w:r>
              <w:t xml:space="preserve">1,570</w:t>
            </w:r>
          </w:p>
        </w:tc>
        <w:tc>
          <w:tcPr/>
          <w:p>
            <w:pPr>
              <w:pStyle w:val="Compact"/>
            </w:pPr>
            <w:r>
              <w:t xml:space="preserve">1.07</w:t>
            </w:r>
          </w:p>
        </w:tc>
      </w:tr>
      <w:tr>
        <w:tc>
          <w:tcPr/>
          <w:p>
            <w:pPr>
              <w:pStyle w:val="Compact"/>
            </w:pPr>
            <w:r>
              <w:t xml:space="preserve">1998–2000</w:t>
            </w:r>
          </w:p>
        </w:tc>
        <w:tc>
          <w:tcPr/>
          <w:p>
            <w:pPr>
              <w:pStyle w:val="Compact"/>
            </w:pPr>
            <w:r>
              <w:t xml:space="preserve">1,065</w:t>
            </w:r>
          </w:p>
        </w:tc>
        <w:tc>
          <w:tcPr/>
          <w:p>
            <w:pPr>
              <w:pStyle w:val="Compact"/>
            </w:pPr>
            <w:r>
              <w:t xml:space="preserve">1,008</w:t>
            </w:r>
          </w:p>
        </w:tc>
        <w:tc>
          <w:tcPr/>
          <w:p>
            <w:pPr>
              <w:pStyle w:val="Compact"/>
            </w:pPr>
            <w:r>
              <w:t xml:space="preserve">1.09</w:t>
            </w:r>
          </w:p>
        </w:tc>
      </w:tr>
      <w:tr>
        <w:tc>
          <w:tcPr/>
          <w:p>
            <w:pPr>
              <w:pStyle w:val="Compact"/>
            </w:pPr>
            <w:r>
              <w:t xml:space="preserve">2001–2002</w:t>
            </w:r>
          </w:p>
        </w:tc>
        <w:tc>
          <w:tcPr/>
          <w:p>
            <w:pPr>
              <w:pStyle w:val="Compact"/>
            </w:pPr>
            <w:r>
              <w:t xml:space="preserve">639</w:t>
            </w:r>
          </w:p>
        </w:tc>
        <w:tc>
          <w:tcPr/>
          <w:p>
            <w:pPr>
              <w:pStyle w:val="Compact"/>
            </w:pPr>
            <w:r>
              <w:t xml:space="preserve">562</w:t>
            </w:r>
          </w:p>
        </w:tc>
        <w:tc>
          <w:tcPr/>
          <w:p>
            <w:pPr>
              <w:pStyle w:val="Compact"/>
            </w:pPr>
            <w:r>
              <w:t xml:space="preserve">1.12</w:t>
            </w:r>
          </w:p>
        </w:tc>
      </w:tr>
    </w:tbl>
    <w:bookmarkEnd w:id="23"/>
    <w:bookmarkStart w:id="24" w:name="X7412c6aa52af0c16122eaafd611db1756b404cd"/>
    <w:p>
      <w:pPr>
        <w:pStyle w:val="Heading2"/>
      </w:pPr>
      <w:r>
        <w:t xml:space="preserve">Table S5. Complete-case vs mean-imputation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 (complete case)</w:t>
            </w:r>
          </w:p>
        </w:tc>
        <w:tc>
          <w:tcPr/>
          <w:p>
            <w:pPr>
              <w:pStyle w:val="Compact"/>
            </w:pPr>
            <w:r>
              <w:t xml:space="preserve">HR (mean imputation)</w:t>
            </w:r>
          </w:p>
        </w:tc>
      </w:tr>
      <w:tr>
        <w:tc>
          <w:tcPr/>
          <w:p>
            <w:pPr>
              <w:pStyle w:val="Compact"/>
            </w:pPr>
            <w:r>
              <w:t xml:space="preserve">Female</w:t>
            </w:r>
          </w:p>
        </w:tc>
        <w:tc>
          <w:tcPr/>
          <w:p>
            <w:pPr>
              <w:pStyle w:val="Compact"/>
            </w:pPr>
            <w:r>
              <w:t xml:space="preserve">1.12</w:t>
            </w:r>
          </w:p>
        </w:tc>
        <w:tc>
          <w:tcPr/>
          <w:p>
            <w:pPr>
              <w:pStyle w:val="Compact"/>
            </w:pPr>
            <w:r>
              <w:t xml:space="preserve">1.10</w:t>
            </w:r>
          </w:p>
        </w:tc>
      </w:tr>
      <w:tr>
        <w:tc>
          <w:tcPr/>
          <w:p>
            <w:pPr>
              <w:pStyle w:val="Compact"/>
            </w:pPr>
            <w:r>
              <w:t xml:space="preserve">Tyrving (z)</w:t>
            </w:r>
          </w:p>
        </w:tc>
        <w:tc>
          <w:tcPr/>
          <w:p>
            <w:pPr>
              <w:pStyle w:val="Compact"/>
            </w:pPr>
            <w:r>
              <w:t xml:space="preserve">1.05</w:t>
            </w:r>
          </w:p>
        </w:tc>
        <w:tc>
          <w:tcPr/>
          <w:p>
            <w:pPr>
              <w:pStyle w:val="Compact"/>
            </w:pPr>
            <w:r>
              <w:t xml:space="preserve">1.05</w:t>
            </w:r>
          </w:p>
        </w:tc>
      </w:tr>
      <w:tr>
        <w:tc>
          <w:tcPr/>
          <w:p>
            <w:pPr>
              <w:pStyle w:val="Compact"/>
            </w:pPr>
            <w:r>
              <w:t xml:space="preserve">HHI early (z)</w:t>
            </w:r>
          </w:p>
        </w:tc>
        <w:tc>
          <w:tcPr/>
          <w:p>
            <w:pPr>
              <w:pStyle w:val="Compact"/>
            </w:pPr>
            <w:r>
              <w:t xml:space="preserve">0.95</w:t>
            </w:r>
          </w:p>
        </w:tc>
        <w:tc>
          <w:tcPr/>
          <w:p>
            <w:pPr>
              <w:pStyle w:val="Compact"/>
            </w:pPr>
            <w:r>
              <w:t xml:space="preserve">0.96</w:t>
            </w:r>
          </w:p>
        </w:tc>
      </w:tr>
      <w:tr>
        <w:tc>
          <w:tcPr/>
          <w:p>
            <w:pPr>
              <w:pStyle w:val="Compact"/>
            </w:pPr>
            <w:r>
              <w:t xml:space="preserve">Volume at age 15–16 (z)</w:t>
            </w:r>
          </w:p>
        </w:tc>
        <w:tc>
          <w:tcPr/>
          <w:p>
            <w:pPr>
              <w:pStyle w:val="Compact"/>
            </w:pPr>
            <w:r>
              <w:t xml:space="preserve">0.44</w:t>
            </w:r>
          </w:p>
        </w:tc>
        <w:tc>
          <w:tcPr/>
          <w:p>
            <w:pPr>
              <w:pStyle w:val="Compact"/>
            </w:pPr>
            <w:r>
              <w:t xml:space="preserve">0.45</w:t>
            </w:r>
          </w:p>
        </w:tc>
      </w:tr>
      <w:tr>
        <w:tc>
          <w:tcPr/>
          <w:p>
            <w:pPr>
              <w:pStyle w:val="Compact"/>
            </w:pPr>
            <w:r>
              <w:t xml:space="preserve">Championship types</w:t>
            </w:r>
          </w:p>
        </w:tc>
        <w:tc>
          <w:tcPr/>
          <w:p>
            <w:pPr>
              <w:pStyle w:val="Compact"/>
            </w:pPr>
            <w:r>
              <w:t xml:space="preserve">0.74</w:t>
            </w:r>
          </w:p>
        </w:tc>
        <w:tc>
          <w:tcPr/>
          <w:p>
            <w:pPr>
              <w:pStyle w:val="Compact"/>
            </w:pPr>
            <w:r>
              <w:t xml:space="preserve">0.73</w:t>
            </w:r>
          </w:p>
        </w:tc>
      </w:tr>
      <w:tr>
        <w:tc>
          <w:tcPr/>
          <w:p>
            <w:pPr>
              <w:pStyle w:val="Compact"/>
            </w:pPr>
            <w:r>
              <w:t xml:space="preserve">n</w:t>
            </w:r>
          </w:p>
        </w:tc>
        <w:tc>
          <w:tcPr/>
          <w:p>
            <w:pPr>
              <w:pStyle w:val="Compact"/>
            </w:pPr>
            <w:r>
              <w:t xml:space="preserve">1,704</w:t>
            </w:r>
          </w:p>
        </w:tc>
        <w:tc>
          <w:tcPr/>
          <w:p>
            <w:pPr>
              <w:pStyle w:val="Compact"/>
            </w:pPr>
            <w:r>
              <w:t xml:space="preserve">2,123</w:t>
            </w:r>
          </w:p>
        </w:tc>
      </w:tr>
    </w:tbl>
    <w:p>
      <w:pPr>
        <w:pStyle w:val="BodyText"/>
      </w:pPr>
      <w:r>
        <w:rPr>
          <w:i/>
          <w:iCs/>
        </w:rPr>
        <w:t xml:space="preserve">Note.</w:t>
      </w:r>
      <w:r>
        <w:t xml:space="preserve"> </w:t>
      </w:r>
      <w:r>
        <w:t xml:space="preserve">Post-baseline Cox specification (descriptive; see Table 5 note). The principal missing-data sensitivity for the primary logistic model is multiple imputation, Supplementary Table S21.</w:t>
      </w:r>
    </w:p>
    <w:bookmarkEnd w:id="24"/>
    <w:bookmarkStart w:id="25" w:name="X0c71959630f98098428a376eff52756fbaccabd"/>
    <w:p>
      <w:pPr>
        <w:pStyle w:val="Heading2"/>
      </w:pPr>
      <w:r>
        <w:t xml:space="preserve">Table S6. Cox model stratified on HHI tercile (sensitivity to PH violation)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w:t>
            </w:r>
          </w:p>
        </w:tc>
        <w:tc>
          <w:tcPr/>
          <w:p>
            <w:pPr>
              <w:pStyle w:val="Compact"/>
            </w:pPr>
            <w:r>
              <w:t xml:space="preserve">p</w:t>
            </w:r>
          </w:p>
        </w:tc>
      </w:tr>
      <w:tr>
        <w:tc>
          <w:tcPr/>
          <w:p>
            <w:pPr>
              <w:pStyle w:val="Compact"/>
            </w:pPr>
            <w:r>
              <w:t xml:space="preserve">Female</w:t>
            </w:r>
          </w:p>
        </w:tc>
        <w:tc>
          <w:tcPr/>
          <w:p>
            <w:pPr>
              <w:pStyle w:val="Compact"/>
            </w:pPr>
            <w:r>
              <w:t xml:space="preserve">1.12</w:t>
            </w:r>
          </w:p>
        </w:tc>
        <w:tc>
          <w:tcPr/>
          <w:p>
            <w:pPr>
              <w:pStyle w:val="Compact"/>
            </w:pPr>
            <w:r>
              <w:t xml:space="preserve">.026</w:t>
            </w:r>
          </w:p>
        </w:tc>
      </w:tr>
      <w:tr>
        <w:tc>
          <w:tcPr/>
          <w:p>
            <w:pPr>
              <w:pStyle w:val="Compact"/>
            </w:pPr>
            <w:r>
              <w:t xml:space="preserve">Tyrving (z)</w:t>
            </w:r>
          </w:p>
        </w:tc>
        <w:tc>
          <w:tcPr/>
          <w:p>
            <w:pPr>
              <w:pStyle w:val="Compact"/>
            </w:pPr>
            <w:r>
              <w:t xml:space="preserve">1.04</w:t>
            </w:r>
          </w:p>
        </w:tc>
        <w:tc>
          <w:tcPr/>
          <w:p>
            <w:pPr>
              <w:pStyle w:val="Compact"/>
            </w:pPr>
            <w:r>
              <w:t xml:space="preserve">.093</w:t>
            </w:r>
          </w:p>
        </w:tc>
      </w:tr>
      <w:tr>
        <w:tc>
          <w:tcPr/>
          <w:p>
            <w:pPr>
              <w:pStyle w:val="Compact"/>
            </w:pPr>
            <w:r>
              <w:t xml:space="preserve">Volume at age 15–16 (z)</w:t>
            </w:r>
          </w:p>
        </w:tc>
        <w:tc>
          <w:tcPr/>
          <w:p>
            <w:pPr>
              <w:pStyle w:val="Compact"/>
            </w:pPr>
            <w:r>
              <w:t xml:space="preserve">0.44</w:t>
            </w:r>
          </w:p>
        </w:tc>
        <w:tc>
          <w:tcPr/>
          <w:p>
            <w:pPr>
              <w:pStyle w:val="Compact"/>
            </w:pPr>
            <w:r>
              <w:t xml:space="preserve">&lt; .001</w:t>
            </w:r>
          </w:p>
        </w:tc>
      </w:tr>
      <w:tr>
        <w:tc>
          <w:tcPr/>
          <w:p>
            <w:pPr>
              <w:pStyle w:val="Compact"/>
            </w:pPr>
            <w:r>
              <w:t xml:space="preserve">Championship types</w:t>
            </w:r>
          </w:p>
        </w:tc>
        <w:tc>
          <w:tcPr/>
          <w:p>
            <w:pPr>
              <w:pStyle w:val="Compact"/>
            </w:pPr>
            <w:r>
              <w:t xml:space="preserve">0.75</w:t>
            </w:r>
          </w:p>
        </w:tc>
        <w:tc>
          <w:tcPr/>
          <w:p>
            <w:pPr>
              <w:pStyle w:val="Compact"/>
            </w:pPr>
            <w:r>
              <w:t xml:space="preserve">&lt; .001</w:t>
            </w:r>
          </w:p>
        </w:tc>
      </w:tr>
    </w:tbl>
    <w:bookmarkEnd w:id="25"/>
    <w:bookmarkStart w:id="26" w:name="Xbdfb7ef1209e388f6ef6b9899e3527031740490"/>
    <w:p>
      <w:pPr>
        <w:pStyle w:val="Heading2"/>
      </w:pPr>
      <w:r>
        <w:t xml:space="preserve">Table S7. Sex-stratified Cox subgroup analyses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Sex</w:t>
            </w:r>
          </w:p>
        </w:tc>
        <w:tc>
          <w:tcPr/>
          <w:p>
            <w:pPr>
              <w:pStyle w:val="Compact"/>
            </w:pPr>
            <w:r>
              <w:t xml:space="preserve">n</w:t>
            </w:r>
          </w:p>
        </w:tc>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Male</w:t>
            </w:r>
          </w:p>
        </w:tc>
        <w:tc>
          <w:tcPr/>
          <w:p>
            <w:pPr>
              <w:pStyle w:val="Compact"/>
            </w:pPr>
            <w:r>
              <w:t xml:space="preserve">805</w:t>
            </w:r>
          </w:p>
        </w:tc>
        <w:tc>
          <w:tcPr/>
          <w:p>
            <w:pPr>
              <w:pStyle w:val="Compact"/>
            </w:pPr>
            <w:r>
              <w:t xml:space="preserve">Tyrving (z)</w:t>
            </w:r>
          </w:p>
        </w:tc>
        <w:tc>
          <w:tcPr/>
          <w:p>
            <w:pPr>
              <w:pStyle w:val="Compact"/>
            </w:pPr>
            <w:r>
              <w:t xml:space="preserve">1.13</w:t>
            </w:r>
          </w:p>
        </w:tc>
        <w:tc>
          <w:tcPr/>
          <w:p>
            <w:pPr>
              <w:pStyle w:val="Compact"/>
            </w:pPr>
            <w:r>
              <w:t xml:space="preserve">[1.05, 1.21]</w:t>
            </w:r>
          </w:p>
        </w:tc>
        <w:tc>
          <w:tcPr/>
          <w:p>
            <w:pPr>
              <w:pStyle w:val="Compact"/>
            </w:pPr>
            <w:r>
              <w:t xml:space="preserve">&lt; .001</w:t>
            </w:r>
          </w:p>
        </w:tc>
      </w:tr>
      <w:tr>
        <w:tc>
          <w:tcPr/>
          <w:p>
            <w:pPr>
              <w:pStyle w:val="Compact"/>
            </w:pPr>
          </w:p>
        </w:tc>
        <w:tc>
          <w:tcPr/>
          <w:p>
            <w:pPr>
              <w:pStyle w:val="Compact"/>
            </w:pPr>
          </w:p>
        </w:tc>
        <w:tc>
          <w:tcPr/>
          <w:p>
            <w:pPr>
              <w:pStyle w:val="Compact"/>
            </w:pPr>
            <w:r>
              <w:t xml:space="preserve">HHI early (z)</w:t>
            </w:r>
          </w:p>
        </w:tc>
        <w:tc>
          <w:tcPr/>
          <w:p>
            <w:pPr>
              <w:pStyle w:val="Compact"/>
            </w:pPr>
            <w:r>
              <w:t xml:space="preserve">0.95</w:t>
            </w:r>
          </w:p>
        </w:tc>
        <w:tc>
          <w:tcPr/>
          <w:p>
            <w:pPr>
              <w:pStyle w:val="Compact"/>
            </w:pPr>
            <w:r>
              <w:t xml:space="preserve">[0.88, 1.03]</w:t>
            </w:r>
          </w:p>
        </w:tc>
        <w:tc>
          <w:tcPr/>
          <w:p>
            <w:pPr>
              <w:pStyle w:val="Compact"/>
            </w:pPr>
            <w:r>
              <w:t xml:space="preserve">.192</w:t>
            </w:r>
          </w:p>
        </w:tc>
      </w:tr>
      <w:tr>
        <w:tc>
          <w:tcPr/>
          <w:p>
            <w:pPr>
              <w:pStyle w:val="Compact"/>
            </w:pPr>
          </w:p>
        </w:tc>
        <w:tc>
          <w:tcPr/>
          <w:p>
            <w:pPr>
              <w:pStyle w:val="Compact"/>
            </w:pPr>
          </w:p>
        </w:tc>
        <w:tc>
          <w:tcPr/>
          <w:p>
            <w:pPr>
              <w:pStyle w:val="Compact"/>
            </w:pPr>
            <w:r>
              <w:t xml:space="preserve">Volume at age 15–16 (z)</w:t>
            </w:r>
          </w:p>
        </w:tc>
        <w:tc>
          <w:tcPr/>
          <w:p>
            <w:pPr>
              <w:pStyle w:val="Compact"/>
            </w:pPr>
            <w:r>
              <w:t xml:space="preserve">0.43</w:t>
            </w:r>
          </w:p>
        </w:tc>
        <w:tc>
          <w:tcPr/>
          <w:p>
            <w:pPr>
              <w:pStyle w:val="Compact"/>
            </w:pPr>
            <w:r>
              <w:t xml:space="preserve">[0.38, 0.50]</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t xml:space="preserve">0.66</w:t>
            </w:r>
          </w:p>
        </w:tc>
        <w:tc>
          <w:tcPr/>
          <w:p>
            <w:pPr>
              <w:pStyle w:val="Compact"/>
            </w:pPr>
            <w:r>
              <w:t xml:space="preserve">[0.59, 0.74]</w:t>
            </w:r>
          </w:p>
        </w:tc>
        <w:tc>
          <w:tcPr/>
          <w:p>
            <w:pPr>
              <w:pStyle w:val="Compact"/>
            </w:pPr>
            <w:r>
              <w:t xml:space="preserve">&lt; .001</w:t>
            </w:r>
          </w:p>
        </w:tc>
      </w:tr>
      <w:tr>
        <w:tc>
          <w:tcPr/>
          <w:p>
            <w:pPr>
              <w:pStyle w:val="Compact"/>
            </w:pPr>
            <w:r>
              <w:t xml:space="preserve">Female</w:t>
            </w:r>
          </w:p>
        </w:tc>
        <w:tc>
          <w:tcPr/>
          <w:p>
            <w:pPr>
              <w:pStyle w:val="Compact"/>
            </w:pPr>
            <w:r>
              <w:t xml:space="preserve">899</w:t>
            </w:r>
          </w:p>
        </w:tc>
        <w:tc>
          <w:tcPr/>
          <w:p>
            <w:pPr>
              <w:pStyle w:val="Compact"/>
            </w:pPr>
            <w:r>
              <w:t xml:space="preserve">Tyrving (z)</w:t>
            </w:r>
          </w:p>
        </w:tc>
        <w:tc>
          <w:tcPr/>
          <w:p>
            <w:pPr>
              <w:pStyle w:val="Compact"/>
            </w:pPr>
            <w:r>
              <w:t xml:space="preserve">0.96</w:t>
            </w:r>
          </w:p>
        </w:tc>
        <w:tc>
          <w:tcPr/>
          <w:p>
            <w:pPr>
              <w:pStyle w:val="Compact"/>
            </w:pPr>
            <w:r>
              <w:t xml:space="preserve">[0.89, 1.03]</w:t>
            </w:r>
          </w:p>
        </w:tc>
        <w:tc>
          <w:tcPr/>
          <w:p>
            <w:pPr>
              <w:pStyle w:val="Compact"/>
            </w:pPr>
            <w:r>
              <w:t xml:space="preserve">.249</w:t>
            </w:r>
          </w:p>
        </w:tc>
      </w:tr>
      <w:tr>
        <w:tc>
          <w:tcPr/>
          <w:p>
            <w:pPr>
              <w:pStyle w:val="Compact"/>
            </w:pPr>
          </w:p>
        </w:tc>
        <w:tc>
          <w:tcPr/>
          <w:p>
            <w:pPr>
              <w:pStyle w:val="Compact"/>
            </w:pPr>
          </w:p>
        </w:tc>
        <w:tc>
          <w:tcPr/>
          <w:p>
            <w:pPr>
              <w:pStyle w:val="Compact"/>
            </w:pPr>
            <w:r>
              <w:t xml:space="preserve">HHI early (z)</w:t>
            </w:r>
          </w:p>
        </w:tc>
        <w:tc>
          <w:tcPr/>
          <w:p>
            <w:pPr>
              <w:pStyle w:val="Compact"/>
            </w:pPr>
            <w:r>
              <w:t xml:space="preserve">0.96</w:t>
            </w:r>
          </w:p>
        </w:tc>
        <w:tc>
          <w:tcPr/>
          <w:p>
            <w:pPr>
              <w:pStyle w:val="Compact"/>
            </w:pPr>
            <w:r>
              <w:t xml:space="preserve">[0.89, 1.03]</w:t>
            </w:r>
          </w:p>
        </w:tc>
        <w:tc>
          <w:tcPr/>
          <w:p>
            <w:pPr>
              <w:pStyle w:val="Compact"/>
            </w:pPr>
            <w:r>
              <w:t xml:space="preserve">.263</w:t>
            </w:r>
          </w:p>
        </w:tc>
      </w:tr>
      <w:tr>
        <w:tc>
          <w:tcPr/>
          <w:p>
            <w:pPr>
              <w:pStyle w:val="Compact"/>
            </w:pPr>
          </w:p>
        </w:tc>
        <w:tc>
          <w:tcPr/>
          <w:p>
            <w:pPr>
              <w:pStyle w:val="Compact"/>
            </w:pPr>
          </w:p>
        </w:tc>
        <w:tc>
          <w:tcPr/>
          <w:p>
            <w:pPr>
              <w:pStyle w:val="Compact"/>
            </w:pPr>
            <w:r>
              <w:t xml:space="preserve">Volume at age 15–16 (z)</w:t>
            </w:r>
          </w:p>
        </w:tc>
        <w:tc>
          <w:tcPr/>
          <w:p>
            <w:pPr>
              <w:pStyle w:val="Compact"/>
            </w:pPr>
            <w:r>
              <w:t xml:space="preserve">0.45</w:t>
            </w:r>
          </w:p>
        </w:tc>
        <w:tc>
          <w:tcPr/>
          <w:p>
            <w:pPr>
              <w:pStyle w:val="Compact"/>
            </w:pPr>
            <w:r>
              <w:t xml:space="preserve">[0.39, 0.50]</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t xml:space="preserve">0.81</w:t>
            </w:r>
          </w:p>
        </w:tc>
        <w:tc>
          <w:tcPr/>
          <w:p>
            <w:pPr>
              <w:pStyle w:val="Compact"/>
            </w:pPr>
            <w:r>
              <w:t xml:space="preserve">[0.73, 0.89]</w:t>
            </w:r>
          </w:p>
        </w:tc>
        <w:tc>
          <w:tcPr/>
          <w:p>
            <w:pPr>
              <w:pStyle w:val="Compact"/>
            </w:pPr>
            <w:r>
              <w:t xml:space="preserve">&lt; .001</w:t>
            </w:r>
          </w:p>
        </w:tc>
      </w:tr>
    </w:tbl>
    <w:p>
      <w:pPr>
        <w:pStyle w:val="BodyText"/>
      </w:pPr>
      <w:r>
        <w:rPr>
          <w:i/>
          <w:iCs/>
        </w:rPr>
        <w:t xml:space="preserve">Note.</w:t>
      </w:r>
      <w:r>
        <w:t xml:space="preserve"> </w:t>
      </w:r>
      <w:r>
        <w:t xml:space="preserve">Post-baseline specification (descriptive; see Table 5 note). C-index = 0.843 in both subgroups. The dominant behavioral covariate is near-identical across sexes (volume HR 0.43 vs 0.45); the Tyrving coefficient differs by sex (males 1.13, females 0.96).</w:t>
      </w:r>
    </w:p>
    <w:bookmarkEnd w:id="26"/>
    <w:bookmarkStart w:id="27" w:name="X878d9f2c57ab1119cc6de90b81f42c987f5ce49"/>
    <w:p>
      <w:pPr>
        <w:pStyle w:val="Heading2"/>
      </w:pPr>
      <w:r>
        <w:t xml:space="preserve">Table S8. Landmark analysis at age 16 (post-baseline Cox, n = 1,167)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1.32</w:t>
            </w:r>
          </w:p>
        </w:tc>
        <w:tc>
          <w:tcPr/>
          <w:p>
            <w:pPr>
              <w:pStyle w:val="Compact"/>
            </w:pPr>
            <w:r>
              <w:t xml:space="preserve">[1.15, 1.52]</w:t>
            </w:r>
          </w:p>
        </w:tc>
        <w:tc>
          <w:tcPr/>
          <w:p>
            <w:pPr>
              <w:pStyle w:val="Compact"/>
            </w:pPr>
            <w:r>
              <w:t xml:space="preserve">&lt; .001</w:t>
            </w:r>
          </w:p>
        </w:tc>
      </w:tr>
      <w:tr>
        <w:tc>
          <w:tcPr/>
          <w:p>
            <w:pPr>
              <w:pStyle w:val="Compact"/>
            </w:pPr>
            <w:r>
              <w:t xml:space="preserve">Tyrving (z)</w:t>
            </w:r>
          </w:p>
        </w:tc>
        <w:tc>
          <w:tcPr/>
          <w:p>
            <w:pPr>
              <w:pStyle w:val="Compact"/>
            </w:pPr>
            <w:r>
              <w:t xml:space="preserve">1.01</w:t>
            </w:r>
          </w:p>
        </w:tc>
        <w:tc>
          <w:tcPr/>
          <w:p>
            <w:pPr>
              <w:pStyle w:val="Compact"/>
            </w:pPr>
            <w:r>
              <w:t xml:space="preserve">[0.94, 1.08]</w:t>
            </w:r>
          </w:p>
        </w:tc>
        <w:tc>
          <w:tcPr/>
          <w:p>
            <w:pPr>
              <w:pStyle w:val="Compact"/>
            </w:pPr>
            <w:r>
              <w:t xml:space="preserve">.81</w:t>
            </w:r>
          </w:p>
        </w:tc>
      </w:tr>
      <w:tr>
        <w:tc>
          <w:tcPr/>
          <w:p>
            <w:pPr>
              <w:pStyle w:val="Compact"/>
            </w:pPr>
            <w:r>
              <w:t xml:space="preserve">HHI early (z)</w:t>
            </w:r>
          </w:p>
        </w:tc>
        <w:tc>
          <w:tcPr/>
          <w:p>
            <w:pPr>
              <w:pStyle w:val="Compact"/>
            </w:pPr>
            <w:r>
              <w:t xml:space="preserve">0.95</w:t>
            </w:r>
          </w:p>
        </w:tc>
        <w:tc>
          <w:tcPr/>
          <w:p>
            <w:pPr>
              <w:pStyle w:val="Compact"/>
            </w:pPr>
            <w:r>
              <w:t xml:space="preserve">[0.88, 1.02]</w:t>
            </w:r>
          </w:p>
        </w:tc>
        <w:tc>
          <w:tcPr/>
          <w:p>
            <w:pPr>
              <w:pStyle w:val="Compact"/>
            </w:pPr>
            <w:r>
              <w:t xml:space="preserve">.17</w:t>
            </w:r>
          </w:p>
        </w:tc>
      </w:tr>
      <w:tr>
        <w:tc>
          <w:tcPr/>
          <w:p>
            <w:pPr>
              <w:pStyle w:val="Compact"/>
            </w:pPr>
            <w:r>
              <w:rPr>
                <w:b/>
                <w:bCs/>
              </w:rPr>
              <w:t xml:space="preserve">Volume at age 15–16 (z)</w:t>
            </w:r>
          </w:p>
        </w:tc>
        <w:tc>
          <w:tcPr/>
          <w:p>
            <w:pPr>
              <w:pStyle w:val="Compact"/>
            </w:pPr>
            <w:r>
              <w:rPr>
                <w:b/>
                <w:bCs/>
              </w:rPr>
              <w:t xml:space="preserve">0.60</w:t>
            </w:r>
          </w:p>
        </w:tc>
        <w:tc>
          <w:tcPr/>
          <w:p>
            <w:pPr>
              <w:pStyle w:val="Compact"/>
            </w:pPr>
            <w:r>
              <w:rPr>
                <w:b/>
                <w:bCs/>
              </w:rPr>
              <w:t xml:space="preserve">[0.54, 0.66]</w:t>
            </w:r>
          </w:p>
        </w:tc>
        <w:tc>
          <w:tcPr/>
          <w:p>
            <w:pPr>
              <w:pStyle w:val="Compact"/>
            </w:pPr>
            <w:r>
              <w:rPr>
                <w:b/>
                <w:bCs/>
              </w:rPr>
              <w:t xml:space="preserve">&lt; .001</w:t>
            </w:r>
          </w:p>
        </w:tc>
      </w:tr>
      <w:tr>
        <w:tc>
          <w:tcPr/>
          <w:p>
            <w:pPr>
              <w:pStyle w:val="Compact"/>
            </w:pPr>
            <w:r>
              <w:t xml:space="preserve">Championship types</w:t>
            </w:r>
          </w:p>
        </w:tc>
        <w:tc>
          <w:tcPr/>
          <w:p>
            <w:pPr>
              <w:pStyle w:val="Compact"/>
            </w:pPr>
            <w:r>
              <w:t xml:space="preserve">0.78</w:t>
            </w:r>
          </w:p>
        </w:tc>
        <w:tc>
          <w:tcPr/>
          <w:p>
            <w:pPr>
              <w:pStyle w:val="Compact"/>
            </w:pPr>
            <w:r>
              <w:t xml:space="preserve">[0.71, 0.87]</w:t>
            </w:r>
          </w:p>
        </w:tc>
        <w:tc>
          <w:tcPr/>
          <w:p>
            <w:pPr>
              <w:pStyle w:val="Compact"/>
            </w:pPr>
            <w:r>
              <w:t xml:space="preserve">&lt; .001</w:t>
            </w:r>
          </w:p>
        </w:tc>
      </w:tr>
      <w:tr>
        <w:tc>
          <w:tcPr/>
          <w:p>
            <w:pPr>
              <w:pStyle w:val="Compact"/>
            </w:pPr>
            <w:r>
              <w:t xml:space="preserve">n complete</w:t>
            </w:r>
          </w:p>
        </w:tc>
        <w:tc>
          <w:tcPr/>
          <w:p>
            <w:pPr>
              <w:pStyle w:val="Compact"/>
            </w:pPr>
            <w:r>
              <w:t xml:space="preserve">960</w:t>
            </w:r>
          </w:p>
        </w:tc>
        <w:tc>
          <w:tcPr/>
          <w:p>
            <w:pPr>
              <w:pStyle w:val="Compact"/>
            </w:pPr>
          </w:p>
        </w:tc>
        <w:tc>
          <w:tcPr/>
          <w:p>
            <w:pPr>
              <w:pStyle w:val="Compact"/>
            </w:pPr>
          </w:p>
        </w:tc>
      </w:tr>
      <w:tr>
        <w:tc>
          <w:tcPr/>
          <w:p>
            <w:pPr>
              <w:pStyle w:val="Compact"/>
            </w:pPr>
            <w:r>
              <w:t xml:space="preserve">C-index</w:t>
            </w:r>
          </w:p>
        </w:tc>
        <w:tc>
          <w:tcPr/>
          <w:p>
            <w:pPr>
              <w:pStyle w:val="Compact"/>
            </w:pPr>
            <w:r>
              <w:t xml:space="preserve">0.735</w:t>
            </w:r>
          </w:p>
        </w:tc>
        <w:tc>
          <w:tcPr/>
          <w:p>
            <w:pPr>
              <w:pStyle w:val="Compact"/>
            </w:pPr>
          </w:p>
        </w:tc>
        <w:tc>
          <w:tcPr/>
          <w:p>
            <w:pPr>
              <w:pStyle w:val="Compact"/>
            </w:pPr>
          </w:p>
        </w:tc>
      </w:tr>
    </w:tbl>
    <w:p>
      <w:pPr>
        <w:pStyle w:val="BodyText"/>
      </w:pPr>
      <w:r>
        <w:rPr>
          <w:i/>
          <w:iCs/>
        </w:rPr>
        <w:t xml:space="preserve">Note.</w:t>
      </w:r>
      <w:r>
        <w:t xml:space="preserve"> </w:t>
      </w:r>
      <w:r>
        <w:t xml:space="preserve">Athletes with ≥1 registered result at age 16, with follow-up time measured from age 16 forward; the age-16 share of the exposure window therefore lies at the start of the at-risk window (see Supplementary Methods S-M1). The fully contamination-free logistic analogue is the change model in main-text Section 3.5 / Supplementary Table S19.</w:t>
      </w:r>
    </w:p>
    <w:bookmarkEnd w:id="27"/>
    <w:bookmarkStart w:id="28" w:name="Xd9d561fc1786db4ae8b829cc2c8239cf911b386"/>
    <w:p>
      <w:pPr>
        <w:pStyle w:val="Heading2"/>
      </w:pPr>
      <w:r>
        <w:t xml:space="preserve">Table S9. Outcome-definition sensitivity (primary L4 specification, baseline-only predictors)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Description</w:t>
            </w:r>
          </w:p>
        </w:tc>
        <w:tc>
          <w:tcPr/>
          <w:p>
            <w:pPr>
              <w:pStyle w:val="Compact"/>
            </w:pPr>
            <w:r>
              <w:t xml:space="preserve">Retainer n (%)</w:t>
            </w:r>
          </w:p>
        </w:tc>
        <w:tc>
          <w:tcPr/>
          <w:p>
            <w:pPr>
              <w:pStyle w:val="Compact"/>
            </w:pPr>
            <w:r>
              <w:t xml:space="preserve">OR (pre-milestone vol per SD)</w:t>
            </w:r>
          </w:p>
        </w:tc>
        <w:tc>
          <w:tcPr/>
          <w:p>
            <w:pPr>
              <w:pStyle w:val="Compact"/>
            </w:pPr>
            <w:r>
              <w:t xml:space="preserve">95% CI</w:t>
            </w:r>
          </w:p>
        </w:tc>
        <w:tc>
          <w:tcPr/>
          <w:p>
            <w:pPr>
              <w:pStyle w:val="Compact"/>
            </w:pPr>
            <w:r>
              <w:t xml:space="preserve">CV-AUC</w:t>
            </w:r>
          </w:p>
        </w:tc>
      </w:tr>
      <w:tr>
        <w:tc>
          <w:tcPr/>
          <w:p>
            <w:pPr>
              <w:pStyle w:val="Compact"/>
            </w:pPr>
            <w:r>
              <w:t xml:space="preserve">A</w:t>
            </w:r>
          </w:p>
        </w:tc>
        <w:tc>
          <w:tcPr/>
          <w:p>
            <w:pPr>
              <w:pStyle w:val="Compact"/>
            </w:pPr>
            <w:r>
              <w:t xml:space="preserve">≥1 senior-age (20+) result</w:t>
            </w:r>
          </w:p>
        </w:tc>
        <w:tc>
          <w:tcPr/>
          <w:p>
            <w:pPr>
              <w:pStyle w:val="Compact"/>
            </w:pPr>
            <w:r>
              <w:t xml:space="preserve">411 (19.4%)</w:t>
            </w:r>
          </w:p>
        </w:tc>
        <w:tc>
          <w:tcPr/>
          <w:p>
            <w:pPr>
              <w:pStyle w:val="Compact"/>
            </w:pPr>
            <w:r>
              <w:t xml:space="preserve">2.29</w:t>
            </w:r>
          </w:p>
        </w:tc>
        <w:tc>
          <w:tcPr/>
          <w:p>
            <w:pPr>
              <w:pStyle w:val="Compact"/>
            </w:pPr>
            <w:r>
              <w:t xml:space="preserve">[2.00, 2.63]</w:t>
            </w:r>
          </w:p>
        </w:tc>
        <w:tc>
          <w:tcPr/>
          <w:p>
            <w:pPr>
              <w:pStyle w:val="Compact"/>
            </w:pPr>
            <w:r>
              <w:t xml:space="preserve">0.732</w:t>
            </w:r>
          </w:p>
        </w:tc>
      </w:tr>
      <w:tr>
        <w:tc>
          <w:tcPr/>
          <w:p>
            <w:pPr>
              <w:pStyle w:val="Compact"/>
            </w:pPr>
            <w:r>
              <w:t xml:space="preserve">B</w:t>
            </w:r>
          </w:p>
        </w:tc>
        <w:tc>
          <w:tcPr/>
          <w:p>
            <w:pPr>
              <w:pStyle w:val="Compact"/>
            </w:pPr>
            <w:r>
              <w:t xml:space="preserve">≥2 results in any senior-age year (primary)</w:t>
            </w:r>
          </w:p>
        </w:tc>
        <w:tc>
          <w:tcPr/>
          <w:p>
            <w:pPr>
              <w:pStyle w:val="Compact"/>
            </w:pPr>
            <w:r>
              <w:t xml:space="preserve">348 (16.4%)</w:t>
            </w:r>
          </w:p>
        </w:tc>
        <w:tc>
          <w:tcPr/>
          <w:p>
            <w:pPr>
              <w:pStyle w:val="Compact"/>
            </w:pPr>
            <w:r>
              <w:t xml:space="preserve">2.40</w:t>
            </w:r>
          </w:p>
        </w:tc>
        <w:tc>
          <w:tcPr/>
          <w:p>
            <w:pPr>
              <w:pStyle w:val="Compact"/>
            </w:pPr>
            <w:r>
              <w:t xml:space="preserve">[2.08, 2.76]</w:t>
            </w:r>
          </w:p>
        </w:tc>
        <w:tc>
          <w:tcPr/>
          <w:p>
            <w:pPr>
              <w:pStyle w:val="Compact"/>
            </w:pPr>
            <w:r>
              <w:t xml:space="preserve">0.751</w:t>
            </w:r>
          </w:p>
        </w:tc>
      </w:tr>
      <w:tr>
        <w:tc>
          <w:tcPr/>
          <w:p>
            <w:pPr>
              <w:pStyle w:val="Compact"/>
            </w:pPr>
            <w:r>
              <w:t xml:space="preserve">C</w:t>
            </w:r>
          </w:p>
        </w:tc>
        <w:tc>
          <w:tcPr/>
          <w:p>
            <w:pPr>
              <w:pStyle w:val="Compact"/>
            </w:pPr>
            <w:r>
              <w:t xml:space="preserve">≥2 results in each of two distinct senior-age years</w:t>
            </w:r>
          </w:p>
        </w:tc>
        <w:tc>
          <w:tcPr/>
          <w:p>
            <w:pPr>
              <w:pStyle w:val="Compact"/>
            </w:pPr>
            <w:r>
              <w:t xml:space="preserve">254 (12.0%)</w:t>
            </w:r>
          </w:p>
        </w:tc>
        <w:tc>
          <w:tcPr/>
          <w:p>
            <w:pPr>
              <w:pStyle w:val="Compact"/>
            </w:pPr>
            <w:r>
              <w:t xml:space="preserve">2.26</w:t>
            </w:r>
          </w:p>
        </w:tc>
        <w:tc>
          <w:tcPr/>
          <w:p>
            <w:pPr>
              <w:pStyle w:val="Compact"/>
            </w:pPr>
            <w:r>
              <w:t xml:space="preserve">[1.95, 2.63]</w:t>
            </w:r>
          </w:p>
        </w:tc>
        <w:tc>
          <w:tcPr/>
          <w:p>
            <w:pPr>
              <w:pStyle w:val="Compact"/>
            </w:pPr>
            <w:r>
              <w:t xml:space="preserve">0.753</w:t>
            </w:r>
          </w:p>
        </w:tc>
      </w:tr>
    </w:tbl>
    <w:p>
      <w:pPr>
        <w:pStyle w:val="BodyText"/>
      </w:pPr>
      <w:r>
        <w:rPr>
          <w:i/>
          <w:iCs/>
        </w:rPr>
        <w:t xml:space="preserve">Note.</w:t>
      </w:r>
      <w:r>
        <w:t xml:space="preserve"> </w:t>
      </w:r>
      <w:r>
        <w:t xml:space="preserve">All three rows re-estimate the primary L4 model (sex, Tyrving, HHI, pre-milestone volume; n = 1,704) with the alternative outcome definitions. The volume effect is stable across definitions.</w:t>
      </w:r>
    </w:p>
    <w:bookmarkEnd w:id="28"/>
    <w:bookmarkStart w:id="29" w:name="X71b7ac0ea8770779ec02beb7f61ea69e8774bd0"/>
    <w:p>
      <w:pPr>
        <w:pStyle w:val="Heading2"/>
      </w:pPr>
      <w:r>
        <w:t xml:space="preserve">Table S10. Lagged volume: pre-milestone (ages 13–14) alone (Cox)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1.15</w:t>
            </w:r>
          </w:p>
        </w:tc>
        <w:tc>
          <w:tcPr/>
          <w:p>
            <w:pPr>
              <w:pStyle w:val="Compact"/>
            </w:pPr>
            <w:r>
              <w:t xml:space="preserve">[1.04, 1.27]</w:t>
            </w:r>
          </w:p>
        </w:tc>
        <w:tc>
          <w:tcPr/>
          <w:p>
            <w:pPr>
              <w:pStyle w:val="Compact"/>
            </w:pPr>
            <w:r>
              <w:t xml:space="preserve">.009</w:t>
            </w:r>
          </w:p>
        </w:tc>
      </w:tr>
      <w:tr>
        <w:tc>
          <w:tcPr/>
          <w:p>
            <w:pPr>
              <w:pStyle w:val="Compact"/>
            </w:pPr>
            <w:r>
              <w:t xml:space="preserve">Tyrving (z)</w:t>
            </w:r>
          </w:p>
        </w:tc>
        <w:tc>
          <w:tcPr/>
          <w:p>
            <w:pPr>
              <w:pStyle w:val="Compact"/>
            </w:pPr>
            <w:r>
              <w:t xml:space="preserve">1.00</w:t>
            </w:r>
          </w:p>
        </w:tc>
        <w:tc>
          <w:tcPr/>
          <w:p>
            <w:pPr>
              <w:pStyle w:val="Compact"/>
            </w:pPr>
            <w:r>
              <w:t xml:space="preserve">[0.95, 1.05]</w:t>
            </w:r>
          </w:p>
        </w:tc>
        <w:tc>
          <w:tcPr/>
          <w:p>
            <w:pPr>
              <w:pStyle w:val="Compact"/>
            </w:pPr>
            <w:r>
              <w:t xml:space="preserve">.833</w:t>
            </w:r>
          </w:p>
        </w:tc>
      </w:tr>
      <w:tr>
        <w:tc>
          <w:tcPr/>
          <w:p>
            <w:pPr>
              <w:pStyle w:val="Compact"/>
            </w:pPr>
            <w:r>
              <w:t xml:space="preserve">HHI early (z)</w:t>
            </w:r>
          </w:p>
        </w:tc>
        <w:tc>
          <w:tcPr/>
          <w:p>
            <w:pPr>
              <w:pStyle w:val="Compact"/>
            </w:pPr>
            <w:r>
              <w:t xml:space="preserve">0.80</w:t>
            </w:r>
          </w:p>
        </w:tc>
        <w:tc>
          <w:tcPr/>
          <w:p>
            <w:pPr>
              <w:pStyle w:val="Compact"/>
            </w:pPr>
            <w:r>
              <w:t xml:space="preserve">[0.76, 0.85]</w:t>
            </w:r>
          </w:p>
        </w:tc>
        <w:tc>
          <w:tcPr/>
          <w:p>
            <w:pPr>
              <w:pStyle w:val="Compact"/>
            </w:pPr>
            <w:r>
              <w:t xml:space="preserve">&lt; .001</w:t>
            </w:r>
          </w:p>
        </w:tc>
      </w:tr>
      <w:tr>
        <w:tc>
          <w:tcPr/>
          <w:p>
            <w:pPr>
              <w:pStyle w:val="Compact"/>
            </w:pPr>
            <w:r>
              <w:rPr>
                <w:b/>
                <w:bCs/>
              </w:rPr>
              <w:t xml:space="preserve">Pre-milestone volume (z, ages 13–14)</w:t>
            </w:r>
          </w:p>
        </w:tc>
        <w:tc>
          <w:tcPr/>
          <w:p>
            <w:pPr>
              <w:pStyle w:val="Compact"/>
            </w:pPr>
            <w:r>
              <w:rPr>
                <w:b/>
                <w:bCs/>
              </w:rPr>
              <w:t xml:space="preserve">0.50</w:t>
            </w:r>
          </w:p>
        </w:tc>
        <w:tc>
          <w:tcPr/>
          <w:p>
            <w:pPr>
              <w:pStyle w:val="Compact"/>
            </w:pPr>
            <w:r>
              <w:rPr>
                <w:b/>
                <w:bCs/>
              </w:rPr>
              <w:t xml:space="preserve">[0.46, 0.53]</w:t>
            </w:r>
          </w:p>
        </w:tc>
        <w:tc>
          <w:tcPr/>
          <w:p>
            <w:pPr>
              <w:pStyle w:val="Compact"/>
            </w:pPr>
            <w:r>
              <w:rPr>
                <w:b/>
                <w:bCs/>
              </w:rPr>
              <w:t xml:space="preserve">&lt; .001</w:t>
            </w:r>
          </w:p>
        </w:tc>
      </w:tr>
    </w:tbl>
    <w:p>
      <w:pPr>
        <w:pStyle w:val="BodyText"/>
      </w:pPr>
      <w:r>
        <w:rPr>
          <w:i/>
          <w:iCs/>
        </w:rPr>
        <w:t xml:space="preserve">Note.</w:t>
      </w:r>
      <w:r>
        <w:t xml:space="preserve"> </w:t>
      </w:r>
      <w:r>
        <w:t xml:space="preserve">n = 1,704; C-index = 0.743.</w:t>
      </w:r>
    </w:p>
    <w:bookmarkEnd w:id="29"/>
    <w:bookmarkStart w:id="30" w:name="Xa64f954e491e5500a083feee6b6748a4b5f6096"/>
    <w:p>
      <w:pPr>
        <w:pStyle w:val="Heading2"/>
      </w:pPr>
      <w:r>
        <w:t xml:space="preserve">Table S11. Sensitivity excluding zero-volume athletes (post-baseline Cox)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1.20</w:t>
            </w:r>
          </w:p>
        </w:tc>
        <w:tc>
          <w:tcPr/>
          <w:p>
            <w:pPr>
              <w:pStyle w:val="Compact"/>
            </w:pPr>
            <w:r>
              <w:t xml:space="preserve">[1.07, 1.36]</w:t>
            </w:r>
          </w:p>
        </w:tc>
        <w:tc>
          <w:tcPr/>
          <w:p>
            <w:pPr>
              <w:pStyle w:val="Compact"/>
            </w:pPr>
            <w:r>
              <w:t xml:space="preserve">.003</w:t>
            </w:r>
          </w:p>
        </w:tc>
      </w:tr>
      <w:tr>
        <w:tc>
          <w:tcPr/>
          <w:p>
            <w:pPr>
              <w:pStyle w:val="Compact"/>
            </w:pPr>
            <w:r>
              <w:t xml:space="preserve">Tyrving (z)</w:t>
            </w:r>
          </w:p>
        </w:tc>
        <w:tc>
          <w:tcPr/>
          <w:p>
            <w:pPr>
              <w:pStyle w:val="Compact"/>
            </w:pPr>
            <w:r>
              <w:t xml:space="preserve">1.04</w:t>
            </w:r>
          </w:p>
        </w:tc>
        <w:tc>
          <w:tcPr/>
          <w:p>
            <w:pPr>
              <w:pStyle w:val="Compact"/>
            </w:pPr>
            <w:r>
              <w:t xml:space="preserve">[0.98, 1.10]</w:t>
            </w:r>
          </w:p>
        </w:tc>
        <w:tc>
          <w:tcPr/>
          <w:p>
            <w:pPr>
              <w:pStyle w:val="Compact"/>
            </w:pPr>
            <w:r>
              <w:t xml:space="preserve">.211</w:t>
            </w:r>
          </w:p>
        </w:tc>
      </w:tr>
      <w:tr>
        <w:tc>
          <w:tcPr/>
          <w:p>
            <w:pPr>
              <w:pStyle w:val="Compact"/>
            </w:pPr>
            <w:r>
              <w:t xml:space="preserve">HHI early (z)</w:t>
            </w:r>
          </w:p>
        </w:tc>
        <w:tc>
          <w:tcPr/>
          <w:p>
            <w:pPr>
              <w:pStyle w:val="Compact"/>
            </w:pPr>
            <w:r>
              <w:t xml:space="preserve">0.96</w:t>
            </w:r>
          </w:p>
        </w:tc>
        <w:tc>
          <w:tcPr/>
          <w:p>
            <w:pPr>
              <w:pStyle w:val="Compact"/>
            </w:pPr>
            <w:r>
              <w:t xml:space="preserve">[0.90, 1.02]</w:t>
            </w:r>
          </w:p>
        </w:tc>
        <w:tc>
          <w:tcPr/>
          <w:p>
            <w:pPr>
              <w:pStyle w:val="Compact"/>
            </w:pPr>
            <w:r>
              <w:t xml:space="preserve">.200</w:t>
            </w:r>
          </w:p>
        </w:tc>
      </w:tr>
      <w:tr>
        <w:tc>
          <w:tcPr/>
          <w:p>
            <w:pPr>
              <w:pStyle w:val="Compact"/>
            </w:pPr>
            <w:r>
              <w:rPr>
                <w:b/>
                <w:bCs/>
              </w:rPr>
              <w:t xml:space="preserve">Volume at age 15–16 (z)</w:t>
            </w:r>
          </w:p>
        </w:tc>
        <w:tc>
          <w:tcPr/>
          <w:p>
            <w:pPr>
              <w:pStyle w:val="Compact"/>
            </w:pPr>
            <w:r>
              <w:rPr>
                <w:b/>
                <w:bCs/>
              </w:rPr>
              <w:t xml:space="preserve">0.51</w:t>
            </w:r>
          </w:p>
        </w:tc>
        <w:tc>
          <w:tcPr/>
          <w:p>
            <w:pPr>
              <w:pStyle w:val="Compact"/>
            </w:pPr>
            <w:r>
              <w:rPr>
                <w:b/>
                <w:bCs/>
              </w:rPr>
              <w:t xml:space="preserve">[0.46, 0.56]</w:t>
            </w:r>
          </w:p>
        </w:tc>
        <w:tc>
          <w:tcPr/>
          <w:p>
            <w:pPr>
              <w:pStyle w:val="Compact"/>
            </w:pPr>
            <w:r>
              <w:rPr>
                <w:b/>
                <w:bCs/>
              </w:rPr>
              <w:t xml:space="preserve">&lt; .001</w:t>
            </w:r>
          </w:p>
        </w:tc>
      </w:tr>
      <w:tr>
        <w:tc>
          <w:tcPr/>
          <w:p>
            <w:pPr>
              <w:pStyle w:val="Compact"/>
            </w:pPr>
            <w:r>
              <w:t xml:space="preserve">Championship types</w:t>
            </w:r>
          </w:p>
        </w:tc>
        <w:tc>
          <w:tcPr/>
          <w:p>
            <w:pPr>
              <w:pStyle w:val="Compact"/>
            </w:pPr>
            <w:r>
              <w:t xml:space="preserve">0.80</w:t>
            </w:r>
          </w:p>
        </w:tc>
        <w:tc>
          <w:tcPr/>
          <w:p>
            <w:pPr>
              <w:pStyle w:val="Compact"/>
            </w:pPr>
            <w:r>
              <w:t xml:space="preserve">[0.73, 0.87]</w:t>
            </w:r>
          </w:p>
        </w:tc>
        <w:tc>
          <w:tcPr/>
          <w:p>
            <w:pPr>
              <w:pStyle w:val="Compact"/>
            </w:pPr>
            <w:r>
              <w:t xml:space="preserve">&lt; .001</w:t>
            </w:r>
          </w:p>
        </w:tc>
      </w:tr>
    </w:tbl>
    <w:p>
      <w:pPr>
        <w:pStyle w:val="BodyText"/>
      </w:pPr>
      <w:r>
        <w:rPr>
          <w:i/>
          <w:iCs/>
        </w:rPr>
        <w:t xml:space="preserve">Note.</w:t>
      </w:r>
      <w:r>
        <w:t xml:space="preserve"> </w:t>
      </w:r>
      <w:r>
        <w:t xml:space="preserve">Excludes 589 athletes with vol_milestone = 0; remaining n = 1,250; C-index = 0.786.</w:t>
      </w:r>
    </w:p>
    <w:bookmarkEnd w:id="30"/>
    <w:bookmarkStart w:id="31" w:name="table-s12.-analysis-sample-flow"/>
    <w:p>
      <w:pPr>
        <w:pStyle w:val="Heading2"/>
      </w:pPr>
      <w:r>
        <w:t xml:space="preserve">Table S12. Analysis sample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n</w:t>
            </w:r>
          </w:p>
        </w:tc>
        <w:tc>
          <w:tcPr/>
          <w:p>
            <w:pPr>
              <w:pStyle w:val="Compact"/>
            </w:pPr>
            <w:r>
              <w:t xml:space="preserve">Definition</w:t>
            </w:r>
          </w:p>
        </w:tc>
      </w:tr>
      <w:tr>
        <w:tc>
          <w:tcPr/>
          <w:p>
            <w:pPr>
              <w:pStyle w:val="Compact"/>
            </w:pPr>
            <w:r>
              <w:t xml:space="preserve">Total cohort</w:t>
            </w:r>
          </w:p>
        </w:tc>
        <w:tc>
          <w:tcPr/>
          <w:p>
            <w:pPr>
              <w:pStyle w:val="Compact"/>
            </w:pPr>
            <w:r>
              <w:t xml:space="preserve">2,123</w:t>
            </w:r>
          </w:p>
        </w:tc>
        <w:tc>
          <w:tcPr/>
          <w:p>
            <w:pPr>
              <w:pStyle w:val="Compact"/>
            </w:pPr>
            <w:r>
              <w:t xml:space="preserve">All included athletes</w:t>
            </w:r>
          </w:p>
        </w:tc>
      </w:tr>
      <w:tr>
        <w:tc>
          <w:tcPr/>
          <w:p>
            <w:pPr>
              <w:pStyle w:val="Compact"/>
            </w:pPr>
            <w:r>
              <w:t xml:space="preserve">Sex known</w:t>
            </w:r>
          </w:p>
        </w:tc>
        <w:tc>
          <w:tcPr/>
          <w:p>
            <w:pPr>
              <w:pStyle w:val="Compact"/>
            </w:pPr>
            <w:r>
              <w:t xml:space="preserve">2,099</w:t>
            </w:r>
          </w:p>
        </w:tc>
        <w:tc>
          <w:tcPr/>
          <w:p>
            <w:pPr>
              <w:pStyle w:val="Compact"/>
            </w:pPr>
            <w:r>
              <w:t xml:space="preserve">Gender M/F registered (24 unknown; excluded from regression models, included in cohort totals and unstratified KM curves)</w:t>
            </w:r>
          </w:p>
        </w:tc>
      </w:tr>
      <w:tr>
        <w:tc>
          <w:tcPr/>
          <w:p>
            <w:pPr>
              <w:pStyle w:val="Compact"/>
            </w:pPr>
            <w:r>
              <w:t xml:space="preserve">Primary logistic L1–L4</w:t>
            </w:r>
          </w:p>
        </w:tc>
        <w:tc>
          <w:tcPr/>
          <w:p>
            <w:pPr>
              <w:pStyle w:val="Compact"/>
            </w:pPr>
            <w:r>
              <w:t xml:space="preserve">1,704</w:t>
            </w:r>
          </w:p>
        </w:tc>
        <w:tc>
          <w:tcPr/>
          <w:p>
            <w:pPr>
              <w:pStyle w:val="Compact"/>
            </w:pPr>
            <w:r>
              <w:t xml:space="preserve">Complete case on sex, Tyrving, HHI, pre-milestone volume; L1–L3 fitted on the same fixed sample for AUC comparability</w:t>
            </w:r>
          </w:p>
        </w:tc>
      </w:tr>
      <w:tr>
        <w:tc>
          <w:tcPr/>
          <w:p>
            <w:pPr>
              <w:pStyle w:val="Compact"/>
            </w:pPr>
            <w:r>
              <w:t xml:space="preserve">Level-vs-change (Table 4)</w:t>
            </w:r>
          </w:p>
        </w:tc>
        <w:tc>
          <w:tcPr/>
          <w:p>
            <w:pPr>
              <w:pStyle w:val="Compact"/>
            </w:pPr>
            <w:r>
              <w:t xml:space="preserve">1,549</w:t>
            </w:r>
          </w:p>
        </w:tc>
        <w:tc>
          <w:tcPr/>
          <w:p>
            <w:pPr>
              <w:pStyle w:val="Compact"/>
            </w:pPr>
            <w:r>
              <w:t xml:space="preserve">Of 1,914 athletes with ≥1 result at age 14; complete case on Tyrving (missingness concentrated among early-inactive athletes: 25.8% vs 19.1%)</w:t>
            </w:r>
          </w:p>
        </w:tc>
      </w:tr>
      <w:tr>
        <w:tc>
          <w:tcPr/>
          <w:p>
            <w:pPr>
              <w:pStyle w:val="Compact"/>
            </w:pPr>
            <w:r>
              <w:t xml:space="preserve">Contamination-free change model</w:t>
            </w:r>
          </w:p>
        </w:tc>
        <w:tc>
          <w:tcPr/>
          <w:p>
            <w:pPr>
              <w:pStyle w:val="Compact"/>
            </w:pPr>
            <w:r>
              <w:t xml:space="preserve">1,075</w:t>
            </w:r>
          </w:p>
        </w:tc>
        <w:tc>
          <w:tcPr/>
          <w:p>
            <w:pPr>
              <w:pStyle w:val="Compact"/>
            </w:pPr>
            <w:r>
              <w:t xml:space="preserve">Of 1,085 athletes with ≥2 results at age 16; complete case on sex</w:t>
            </w:r>
          </w:p>
        </w:tc>
      </w:tr>
      <w:tr>
        <w:tc>
          <w:tcPr/>
          <w:p>
            <w:pPr>
              <w:pStyle w:val="Compact"/>
            </w:pPr>
            <w:r>
              <w:t xml:space="preserve">Landmark Cox at age 16</w:t>
            </w:r>
          </w:p>
        </w:tc>
        <w:tc>
          <w:tcPr/>
          <w:p>
            <w:pPr>
              <w:pStyle w:val="Compact"/>
            </w:pPr>
            <w:r>
              <w:t xml:space="preserve">960</w:t>
            </w:r>
          </w:p>
        </w:tc>
        <w:tc>
          <w:tcPr/>
          <w:p>
            <w:pPr>
              <w:pStyle w:val="Compact"/>
            </w:pPr>
            <w:r>
              <w:t xml:space="preserve">Of 1,167 athletes with ≥1 result at age 16; complete case on model covariates</w:t>
            </w:r>
          </w:p>
        </w:tc>
      </w:tr>
      <w:tr>
        <w:tc>
          <w:tcPr/>
          <w:p>
            <w:pPr>
              <w:pStyle w:val="Compact"/>
            </w:pPr>
            <w:r>
              <w:t xml:space="preserve">Multiple imputation</w:t>
            </w:r>
          </w:p>
        </w:tc>
        <w:tc>
          <w:tcPr/>
          <w:p>
            <w:pPr>
              <w:pStyle w:val="Compact"/>
            </w:pPr>
            <w:r>
              <w:t xml:space="preserve">2,099</w:t>
            </w:r>
          </w:p>
        </w:tc>
        <w:tc>
          <w:tcPr/>
          <w:p>
            <w:pPr>
              <w:pStyle w:val="Compact"/>
            </w:pPr>
            <w:r>
              <w:t xml:space="preserve">All athletes with known sex; Tyrving and HHI imputed (m = 20)</w:t>
            </w:r>
          </w:p>
        </w:tc>
      </w:tr>
      <w:tr>
        <w:tc>
          <w:tcPr/>
          <w:p>
            <w:pPr>
              <w:pStyle w:val="Compact"/>
            </w:pPr>
            <w:r>
              <w:t xml:space="preserve">Specialization confound models (S18 B/C)</w:t>
            </w:r>
          </w:p>
        </w:tc>
        <w:tc>
          <w:tcPr/>
          <w:p>
            <w:pPr>
              <w:pStyle w:val="Compact"/>
            </w:pPr>
            <w:r>
              <w:t xml:space="preserve">1,521 / 1,632</w:t>
            </w:r>
          </w:p>
        </w:tc>
        <w:tc>
          <w:tcPr/>
          <w:p>
            <w:pPr>
              <w:pStyle w:val="Compact"/>
            </w:pPr>
            <w:r>
              <w:t xml:space="preserve">Complete case on primary-category Tyrving</w:t>
            </w:r>
          </w:p>
        </w:tc>
      </w:tr>
    </w:tbl>
    <w:p>
      <w:pPr>
        <w:pStyle w:val="BodyText"/>
      </w:pPr>
      <w:r>
        <w:rPr>
          <w:i/>
          <w:iCs/>
        </w:rPr>
        <w:t xml:space="preserve">Note.</w:t>
      </w:r>
      <w:r>
        <w:t xml:space="preserve"> </w:t>
      </w:r>
      <w:r>
        <w:t xml:space="preserve">One map of every analysis sample in the manuscript; each n is derivable from the row’s definition.</w:t>
      </w:r>
    </w:p>
    <w:bookmarkEnd w:id="31"/>
    <w:bookmarkStart w:id="32" w:name="X222e4e7683d0a0d9c9b236b6a358e65d6328bfb"/>
    <w:p>
      <w:pPr>
        <w:pStyle w:val="Heading2"/>
      </w:pPr>
      <w:r>
        <w:t xml:space="preserve">Table S13. Primary logistic regression with structural controls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0.60</w:t>
            </w:r>
          </w:p>
        </w:tc>
        <w:tc>
          <w:tcPr/>
          <w:p>
            <w:pPr>
              <w:pStyle w:val="Compact"/>
            </w:pPr>
            <w:r>
              <w:t xml:space="preserve">[0.45, 0.79]</w:t>
            </w:r>
          </w:p>
        </w:tc>
        <w:tc>
          <w:tcPr/>
          <w:p>
            <w:pPr>
              <w:pStyle w:val="Compact"/>
            </w:pPr>
            <w:r>
              <w:t xml:space="preserve">&lt; .001</w:t>
            </w:r>
          </w:p>
        </w:tc>
      </w:tr>
      <w:tr>
        <w:tc>
          <w:tcPr/>
          <w:p>
            <w:pPr>
              <w:pStyle w:val="Compact"/>
            </w:pPr>
            <w:r>
              <w:t xml:space="preserve">Tyrving (z)</w:t>
            </w:r>
          </w:p>
        </w:tc>
        <w:tc>
          <w:tcPr/>
          <w:p>
            <w:pPr>
              <w:pStyle w:val="Compact"/>
            </w:pPr>
            <w:r>
              <w:t xml:space="preserve">1.12</w:t>
            </w:r>
          </w:p>
        </w:tc>
        <w:tc>
          <w:tcPr/>
          <w:p>
            <w:pPr>
              <w:pStyle w:val="Compact"/>
            </w:pPr>
            <w:r>
              <w:t xml:space="preserve">[0.96, 1.31]</w:t>
            </w:r>
          </w:p>
        </w:tc>
        <w:tc>
          <w:tcPr/>
          <w:p>
            <w:pPr>
              <w:pStyle w:val="Compact"/>
            </w:pPr>
            <w:r>
              <w:t xml:space="preserve">.138</w:t>
            </w:r>
          </w:p>
        </w:tc>
      </w:tr>
      <w:tr>
        <w:tc>
          <w:tcPr/>
          <w:p>
            <w:pPr>
              <w:pStyle w:val="Compact"/>
            </w:pPr>
            <w:r>
              <w:t xml:space="preserve">HHI early (z)</w:t>
            </w:r>
          </w:p>
        </w:tc>
        <w:tc>
          <w:tcPr/>
          <w:p>
            <w:pPr>
              <w:pStyle w:val="Compact"/>
            </w:pPr>
            <w:r>
              <w:t xml:space="preserve">1.35</w:t>
            </w:r>
          </w:p>
        </w:tc>
        <w:tc>
          <w:tcPr/>
          <w:p>
            <w:pPr>
              <w:pStyle w:val="Compact"/>
            </w:pPr>
            <w:r>
              <w:t xml:space="preserve">[1.16, 1.56]</w:t>
            </w:r>
          </w:p>
        </w:tc>
        <w:tc>
          <w:tcPr/>
          <w:p>
            <w:pPr>
              <w:pStyle w:val="Compact"/>
            </w:pPr>
            <w:r>
              <w:t xml:space="preserve">&lt; .001</w:t>
            </w:r>
          </w:p>
        </w:tc>
      </w:tr>
      <w:tr>
        <w:tc>
          <w:tcPr/>
          <w:p>
            <w:pPr>
              <w:pStyle w:val="Compact"/>
            </w:pPr>
            <w:r>
              <w:rPr>
                <w:b/>
                <w:bCs/>
              </w:rPr>
              <w:t xml:space="preserve">Pre-milestone volume (z)</w:t>
            </w:r>
          </w:p>
        </w:tc>
        <w:tc>
          <w:tcPr/>
          <w:p>
            <w:pPr>
              <w:pStyle w:val="Compact"/>
            </w:pPr>
            <w:r>
              <w:rPr>
                <w:b/>
                <w:bCs/>
              </w:rPr>
              <w:t xml:space="preserve">2.40</w:t>
            </w:r>
          </w:p>
        </w:tc>
        <w:tc>
          <w:tcPr/>
          <w:p>
            <w:pPr>
              <w:pStyle w:val="Compact"/>
            </w:pPr>
            <w:r>
              <w:rPr>
                <w:b/>
                <w:bCs/>
              </w:rPr>
              <w:t xml:space="preserve">[2.08, 2.78]</w:t>
            </w:r>
          </w:p>
        </w:tc>
        <w:tc>
          <w:tcPr/>
          <w:p>
            <w:pPr>
              <w:pStyle w:val="Compact"/>
            </w:pPr>
            <w:r>
              <w:rPr>
                <w:b/>
                <w:bCs/>
              </w:rPr>
              <w:t xml:space="preserve">&lt; .001</w:t>
            </w:r>
          </w:p>
        </w:tc>
      </w:tr>
      <w:tr>
        <w:tc>
          <w:tcPr/>
          <w:p>
            <w:pPr>
              <w:pStyle w:val="Compact"/>
            </w:pPr>
            <w:r>
              <w:t xml:space="preserve">Q1 born</w:t>
            </w:r>
          </w:p>
        </w:tc>
        <w:tc>
          <w:tcPr/>
          <w:p>
            <w:pPr>
              <w:pStyle w:val="Compact"/>
            </w:pPr>
            <w:r>
              <w:t xml:space="preserve">0.81</w:t>
            </w:r>
          </w:p>
        </w:tc>
        <w:tc>
          <w:tcPr/>
          <w:p>
            <w:pPr>
              <w:pStyle w:val="Compact"/>
            </w:pPr>
            <w:r>
              <w:t xml:space="preserve">[0.59, 1.11]</w:t>
            </w:r>
          </w:p>
        </w:tc>
        <w:tc>
          <w:tcPr/>
          <w:p>
            <w:pPr>
              <w:pStyle w:val="Compact"/>
            </w:pPr>
            <w:r>
              <w:t xml:space="preserve">.188</w:t>
            </w:r>
          </w:p>
        </w:tc>
      </w:tr>
      <w:tr>
        <w:tc>
          <w:tcPr/>
          <w:p>
            <w:pPr>
              <w:pStyle w:val="Compact"/>
            </w:pPr>
            <w:r>
              <w:t xml:space="preserve">Q4 born</w:t>
            </w:r>
          </w:p>
        </w:tc>
        <w:tc>
          <w:tcPr/>
          <w:p>
            <w:pPr>
              <w:pStyle w:val="Compact"/>
            </w:pPr>
            <w:r>
              <w:t xml:space="preserve">0.93</w:t>
            </w:r>
          </w:p>
        </w:tc>
        <w:tc>
          <w:tcPr/>
          <w:p>
            <w:pPr>
              <w:pStyle w:val="Compact"/>
            </w:pPr>
            <w:r>
              <w:t xml:space="preserve">[0.62, 1.40]</w:t>
            </w:r>
          </w:p>
        </w:tc>
        <w:tc>
          <w:tcPr/>
          <w:p>
            <w:pPr>
              <w:pStyle w:val="Compact"/>
            </w:pPr>
            <w:r>
              <w:t xml:space="preserve">.740</w:t>
            </w:r>
          </w:p>
        </w:tc>
      </w:tr>
      <w:tr>
        <w:tc>
          <w:tcPr/>
          <w:p>
            <w:pPr>
              <w:pStyle w:val="Compact"/>
            </w:pPr>
            <w:r>
              <w:t xml:space="preserve">Region: Østlandet</w:t>
            </w:r>
          </w:p>
        </w:tc>
        <w:tc>
          <w:tcPr/>
          <w:p>
            <w:pPr>
              <w:pStyle w:val="Compact"/>
            </w:pPr>
            <w:r>
              <w:t xml:space="preserve">1.27</w:t>
            </w:r>
          </w:p>
        </w:tc>
        <w:tc>
          <w:tcPr/>
          <w:p>
            <w:pPr>
              <w:pStyle w:val="Compact"/>
            </w:pPr>
            <w:r>
              <w:t xml:space="preserve">[0.92, 1.77]</w:t>
            </w:r>
          </w:p>
        </w:tc>
        <w:tc>
          <w:tcPr/>
          <w:p>
            <w:pPr>
              <w:pStyle w:val="Compact"/>
            </w:pPr>
            <w:r>
              <w:t xml:space="preserve">.149</w:t>
            </w:r>
          </w:p>
        </w:tc>
      </w:tr>
      <w:tr>
        <w:tc>
          <w:tcPr/>
          <w:p>
            <w:pPr>
              <w:pStyle w:val="Compact"/>
            </w:pPr>
            <w:r>
              <w:t xml:space="preserve">Region: Midt-Norge</w:t>
            </w:r>
          </w:p>
        </w:tc>
        <w:tc>
          <w:tcPr/>
          <w:p>
            <w:pPr>
              <w:pStyle w:val="Compact"/>
            </w:pPr>
            <w:r>
              <w:t xml:space="preserve">1.10</w:t>
            </w:r>
          </w:p>
        </w:tc>
        <w:tc>
          <w:tcPr/>
          <w:p>
            <w:pPr>
              <w:pStyle w:val="Compact"/>
            </w:pPr>
            <w:r>
              <w:t xml:space="preserve">[0.74, 1.64]</w:t>
            </w:r>
          </w:p>
        </w:tc>
        <w:tc>
          <w:tcPr/>
          <w:p>
            <w:pPr>
              <w:pStyle w:val="Compact"/>
            </w:pPr>
            <w:r>
              <w:t xml:space="preserve">.626</w:t>
            </w:r>
          </w:p>
        </w:tc>
      </w:tr>
      <w:tr>
        <w:tc>
          <w:tcPr/>
          <w:p>
            <w:pPr>
              <w:pStyle w:val="Compact"/>
            </w:pPr>
            <w:r>
              <w:t xml:space="preserve">Club size (z)</w:t>
            </w:r>
          </w:p>
        </w:tc>
        <w:tc>
          <w:tcPr/>
          <w:p>
            <w:pPr>
              <w:pStyle w:val="Compact"/>
            </w:pPr>
            <w:r>
              <w:t xml:space="preserve">1.03</w:t>
            </w:r>
          </w:p>
        </w:tc>
        <w:tc>
          <w:tcPr/>
          <w:p>
            <w:pPr>
              <w:pStyle w:val="Compact"/>
            </w:pPr>
            <w:r>
              <w:t xml:space="preserve">[0.90, 1.18]</w:t>
            </w:r>
          </w:p>
        </w:tc>
        <w:tc>
          <w:tcPr/>
          <w:p>
            <w:pPr>
              <w:pStyle w:val="Compact"/>
            </w:pPr>
            <w:r>
              <w:t xml:space="preserve">.681</w:t>
            </w:r>
          </w:p>
        </w:tc>
      </w:tr>
    </w:tbl>
    <w:p>
      <w:pPr>
        <w:pStyle w:val="BodyText"/>
      </w:pPr>
      <w:r>
        <w:rPr>
          <w:i/>
          <w:iCs/>
        </w:rPr>
        <w:t xml:space="preserve">Note.</w:t>
      </w:r>
      <w:r>
        <w:t xml:space="preserve"> </w:t>
      </w:r>
      <w:r>
        <w:t xml:space="preserve">n = 1,704; CV-AUC = 0.740. Pre-milestone volume effect is unchanged: OR 2.40 with controls vs. 2.40 without (≤ 1% change). All structural controls non-significant.</w:t>
      </w:r>
    </w:p>
    <w:bookmarkEnd w:id="32"/>
    <w:bookmarkStart w:id="33" w:name="X85a736532f6f0c171ef031556d1440210016a94"/>
    <w:p>
      <w:pPr>
        <w:pStyle w:val="Heading2"/>
      </w:pPr>
      <w:r>
        <w:t xml:space="preserve">Table S14. Pull-back analysis details (athletes with ≥1 result at age 14; complete-case n = 1,549)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Pseudo-</w:t>
            </w:r>
            <w:r>
              <w:rPr>
                <w:i/>
                <w:iCs/>
              </w:rPr>
              <w:t xml:space="preserve">R</w:t>
            </w:r>
            <w:r>
              <w:t xml:space="preserve">²</w:t>
            </w:r>
          </w:p>
        </w:tc>
      </w:tr>
      <w:tr>
        <w:tc>
          <w:tcPr/>
          <w:p>
            <w:pPr>
              <w:pStyle w:val="Compact"/>
            </w:pPr>
            <w:r>
              <w:t xml:space="preserve">M1: Volume at age 14 only</w:t>
            </w:r>
          </w:p>
        </w:tc>
        <w:tc>
          <w:tcPr/>
          <w:p>
            <w:pPr>
              <w:pStyle w:val="Compact"/>
            </w:pPr>
            <w:r>
              <w:t xml:space="preserve">Female</w:t>
            </w:r>
          </w:p>
        </w:tc>
        <w:tc>
          <w:tcPr/>
          <w:p>
            <w:pPr>
              <w:pStyle w:val="Compact"/>
            </w:pPr>
            <w:r>
              <w:t xml:space="preserve">0.61</w:t>
            </w:r>
          </w:p>
        </w:tc>
        <w:tc>
          <w:tcPr/>
          <w:p>
            <w:pPr>
              <w:pStyle w:val="Compact"/>
            </w:pPr>
            <w:r>
              <w:t xml:space="preserve">[0.46, 0.81]</w:t>
            </w:r>
          </w:p>
        </w:tc>
        <w:tc>
          <w:tcPr/>
          <w:p>
            <w:pPr>
              <w:pStyle w:val="Compact"/>
            </w:pPr>
            <w:r>
              <w:t xml:space="preserve">&lt; .001</w:t>
            </w:r>
          </w:p>
        </w:tc>
        <w:tc>
          <w:tcPr/>
          <w:p>
            <w:pPr>
              <w:pStyle w:val="Compact"/>
            </w:pPr>
            <w:r>
              <w:t xml:space="preserve">0.113</w:t>
            </w:r>
          </w:p>
        </w:tc>
      </w:tr>
      <w:tr>
        <w:tc>
          <w:tcPr/>
          <w:p>
            <w:pPr>
              <w:pStyle w:val="Compact"/>
            </w:pPr>
          </w:p>
        </w:tc>
        <w:tc>
          <w:tcPr/>
          <w:p>
            <w:pPr>
              <w:pStyle w:val="Compact"/>
            </w:pPr>
            <w:r>
              <w:t xml:space="preserve">Tyrving (z)</w:t>
            </w:r>
          </w:p>
        </w:tc>
        <w:tc>
          <w:tcPr/>
          <w:p>
            <w:pPr>
              <w:pStyle w:val="Compact"/>
            </w:pPr>
            <w:r>
              <w:t xml:space="preserve">1.12</w:t>
            </w:r>
          </w:p>
        </w:tc>
        <w:tc>
          <w:tcPr/>
          <w:p>
            <w:pPr>
              <w:pStyle w:val="Compact"/>
            </w:pPr>
            <w:r>
              <w:t xml:space="preserve">[0.96, 1.30]</w:t>
            </w:r>
          </w:p>
        </w:tc>
        <w:tc>
          <w:tcPr/>
          <w:p>
            <w:pPr>
              <w:pStyle w:val="Compact"/>
            </w:pPr>
            <w:r>
              <w:t xml:space="preserve">.167</w:t>
            </w:r>
          </w:p>
        </w:tc>
        <w:tc>
          <w:tcPr/>
          <w:p>
            <w:pPr>
              <w:pStyle w:val="Compact"/>
            </w:pPr>
          </w:p>
        </w:tc>
      </w:tr>
      <w:tr>
        <w:tc>
          <w:tcPr/>
          <w:p>
            <w:pPr>
              <w:pStyle w:val="Compact"/>
            </w:pPr>
          </w:p>
        </w:tc>
        <w:tc>
          <w:tcPr/>
          <w:p>
            <w:pPr>
              <w:pStyle w:val="Compact"/>
            </w:pPr>
            <w:r>
              <w:t xml:space="preserve">Volume at age 14 (z)</w:t>
            </w:r>
          </w:p>
        </w:tc>
        <w:tc>
          <w:tcPr/>
          <w:p>
            <w:pPr>
              <w:pStyle w:val="Compact"/>
            </w:pPr>
            <w:r>
              <w:t xml:space="preserve">2.23</w:t>
            </w:r>
          </w:p>
        </w:tc>
        <w:tc>
          <w:tcPr/>
          <w:p>
            <w:pPr>
              <w:pStyle w:val="Compact"/>
            </w:pPr>
            <w:r>
              <w:t xml:space="preserve">[1.94, 2.57]</w:t>
            </w:r>
          </w:p>
        </w:tc>
        <w:tc>
          <w:tcPr/>
          <w:p>
            <w:pPr>
              <w:pStyle w:val="Compact"/>
            </w:pPr>
            <w:r>
              <w:t xml:space="preserve">&lt; .001</w:t>
            </w:r>
          </w:p>
        </w:tc>
        <w:tc>
          <w:tcPr/>
          <w:p>
            <w:pPr>
              <w:pStyle w:val="Compact"/>
            </w:pPr>
          </w:p>
        </w:tc>
      </w:tr>
      <w:tr>
        <w:tc>
          <w:tcPr/>
          <w:p>
            <w:pPr>
              <w:pStyle w:val="Compact"/>
            </w:pPr>
            <w:r>
              <w:t xml:space="preserve">M2: + Volume change 14→15</w:t>
            </w:r>
          </w:p>
        </w:tc>
        <w:tc>
          <w:tcPr/>
          <w:p>
            <w:pPr>
              <w:pStyle w:val="Compact"/>
            </w:pPr>
            <w:r>
              <w:t xml:space="preserve">Female</w:t>
            </w:r>
          </w:p>
        </w:tc>
        <w:tc>
          <w:tcPr/>
          <w:p>
            <w:pPr>
              <w:pStyle w:val="Compact"/>
            </w:pPr>
            <w:r>
              <w:t xml:space="preserve">0.60</w:t>
            </w:r>
          </w:p>
        </w:tc>
        <w:tc>
          <w:tcPr/>
          <w:p>
            <w:pPr>
              <w:pStyle w:val="Compact"/>
            </w:pPr>
            <w:r>
              <w:t xml:space="preserve">[0.44, 0.81]</w:t>
            </w:r>
          </w:p>
        </w:tc>
        <w:tc>
          <w:tcPr/>
          <w:p>
            <w:pPr>
              <w:pStyle w:val="Compact"/>
            </w:pPr>
            <w:r>
              <w:t xml:space="preserve">&lt; .001</w:t>
            </w:r>
          </w:p>
        </w:tc>
        <w:tc>
          <w:tcPr/>
          <w:p>
            <w:pPr>
              <w:pStyle w:val="Compact"/>
            </w:pPr>
            <w:r>
              <w:t xml:space="preserve">0.227</w:t>
            </w:r>
          </w:p>
        </w:tc>
      </w:tr>
      <w:tr>
        <w:tc>
          <w:tcPr/>
          <w:p>
            <w:pPr>
              <w:pStyle w:val="Compact"/>
            </w:pPr>
          </w:p>
        </w:tc>
        <w:tc>
          <w:tcPr/>
          <w:p>
            <w:pPr>
              <w:pStyle w:val="Compact"/>
            </w:pPr>
            <w:r>
              <w:t xml:space="preserve">Tyrving (z)</w:t>
            </w:r>
          </w:p>
        </w:tc>
        <w:tc>
          <w:tcPr/>
          <w:p>
            <w:pPr>
              <w:pStyle w:val="Compact"/>
            </w:pPr>
            <w:r>
              <w:t xml:space="preserve">1.01</w:t>
            </w:r>
          </w:p>
        </w:tc>
        <w:tc>
          <w:tcPr/>
          <w:p>
            <w:pPr>
              <w:pStyle w:val="Compact"/>
            </w:pPr>
            <w:r>
              <w:t xml:space="preserve">[0.86, 1.19]</w:t>
            </w:r>
          </w:p>
        </w:tc>
        <w:tc>
          <w:tcPr/>
          <w:p>
            <w:pPr>
              <w:pStyle w:val="Compact"/>
            </w:pPr>
            <w:r>
              <w:t xml:space="preserve">.882</w:t>
            </w:r>
          </w:p>
        </w:tc>
        <w:tc>
          <w:tcPr/>
          <w:p>
            <w:pPr>
              <w:pStyle w:val="Compact"/>
            </w:pPr>
          </w:p>
        </w:tc>
      </w:tr>
      <w:tr>
        <w:tc>
          <w:tcPr/>
          <w:p>
            <w:pPr>
              <w:pStyle w:val="Compact"/>
            </w:pPr>
          </w:p>
        </w:tc>
        <w:tc>
          <w:tcPr/>
          <w:p>
            <w:pPr>
              <w:pStyle w:val="Compact"/>
            </w:pPr>
            <w:r>
              <w:t xml:space="preserve">Volume at age 14 (z)</w:t>
            </w:r>
          </w:p>
        </w:tc>
        <w:tc>
          <w:tcPr/>
          <w:p>
            <w:pPr>
              <w:pStyle w:val="Compact"/>
            </w:pPr>
            <w:r>
              <w:t xml:space="preserve">2.79</w:t>
            </w:r>
          </w:p>
        </w:tc>
        <w:tc>
          <w:tcPr/>
          <w:p>
            <w:pPr>
              <w:pStyle w:val="Compact"/>
            </w:pPr>
            <w:r>
              <w:t xml:space="preserve">[2.37, 3.28]</w:t>
            </w:r>
          </w:p>
        </w:tc>
        <w:tc>
          <w:tcPr/>
          <w:p>
            <w:pPr>
              <w:pStyle w:val="Compact"/>
            </w:pPr>
            <w:r>
              <w:t xml:space="preserve">&lt; .001</w:t>
            </w:r>
          </w:p>
        </w:tc>
        <w:tc>
          <w:tcPr/>
          <w:p>
            <w:pPr>
              <w:pStyle w:val="Compact"/>
            </w:pPr>
          </w:p>
        </w:tc>
      </w:tr>
      <w:tr>
        <w:tc>
          <w:tcPr/>
          <w:p>
            <w:pPr>
              <w:pStyle w:val="Compact"/>
            </w:pPr>
          </w:p>
        </w:tc>
        <w:tc>
          <w:tcPr/>
          <w:p>
            <w:pPr>
              <w:pStyle w:val="Compact"/>
            </w:pPr>
            <w:r>
              <w:t xml:space="preserve">Volume change 14→15 (z)</w:t>
            </w:r>
          </w:p>
        </w:tc>
        <w:tc>
          <w:tcPr/>
          <w:p>
            <w:pPr>
              <w:pStyle w:val="Compact"/>
            </w:pPr>
            <w:r>
              <w:t xml:space="preserve">2.44</w:t>
            </w:r>
          </w:p>
        </w:tc>
        <w:tc>
          <w:tcPr/>
          <w:p>
            <w:pPr>
              <w:pStyle w:val="Compact"/>
            </w:pPr>
            <w:r>
              <w:t xml:space="preserve">[2.10, 2.83]</w:t>
            </w:r>
          </w:p>
        </w:tc>
        <w:tc>
          <w:tcPr/>
          <w:p>
            <w:pPr>
              <w:pStyle w:val="Compact"/>
            </w:pPr>
            <w:r>
              <w:t xml:space="preserve">&lt; .001</w:t>
            </w:r>
          </w:p>
        </w:tc>
        <w:tc>
          <w:tcPr/>
          <w:p>
            <w:pPr>
              <w:pStyle w:val="Compact"/>
            </w:pPr>
          </w:p>
        </w:tc>
      </w:tr>
    </w:tbl>
    <w:p>
      <w:pPr>
        <w:pStyle w:val="BodyText"/>
      </w:pPr>
      <w:r>
        <w:rPr>
          <w:i/>
          <w:iCs/>
        </w:rPr>
        <w:t xml:space="preserve">Note.</w:t>
      </w:r>
      <w:r>
        <w:t xml:space="preserve"> </w:t>
      </w:r>
      <w:r>
        <w:t xml:space="preserve">Full coefficient detail for main-text Table 4, including per-model pseudo-</w:t>
      </w:r>
      <w:r>
        <w:rPr>
          <w:i/>
          <w:iCs/>
        </w:rPr>
        <w:t xml:space="preserve">R</w:t>
      </w:r>
      <w:r>
        <w:t xml:space="preserve">².</w:t>
      </w:r>
    </w:p>
    <w:bookmarkEnd w:id="33"/>
    <w:bookmarkStart w:id="34" w:name="X14a187cccba8ab8acd9d39950cd3e8c5b715a82"/>
    <w:p>
      <w:pPr>
        <w:pStyle w:val="Heading2"/>
      </w:pPr>
      <w:r>
        <w:t xml:space="preserve">Table S15. Time-aligned behavior versus performance (5-fold CV-AUC)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 (all ages 13–14 measurements)</w:t>
            </w:r>
          </w:p>
        </w:tc>
        <w:tc>
          <w:tcPr/>
          <w:p>
            <w:pPr>
              <w:pStyle w:val="Compact"/>
            </w:pPr>
            <w:r>
              <w:t xml:space="preserve">n</w:t>
            </w:r>
          </w:p>
        </w:tc>
        <w:tc>
          <w:tcPr/>
          <w:p>
            <w:pPr>
              <w:pStyle w:val="Compact"/>
            </w:pPr>
            <w:r>
              <w:t xml:space="preserve">CV-AUC</w:t>
            </w:r>
          </w:p>
        </w:tc>
      </w:tr>
      <w:tr>
        <w:tc>
          <w:tcPr/>
          <w:p>
            <w:pPr>
              <w:pStyle w:val="Compact"/>
            </w:pPr>
            <w:r>
              <w:t xml:space="preserve">Sex + baseline Tyrving</w:t>
            </w:r>
          </w:p>
        </w:tc>
        <w:tc>
          <w:tcPr/>
          <w:p>
            <w:pPr>
              <w:pStyle w:val="Compact"/>
            </w:pPr>
            <w:r>
              <w:t xml:space="preserve">1,704</w:t>
            </w:r>
          </w:p>
        </w:tc>
        <w:tc>
          <w:tcPr/>
          <w:p>
            <w:pPr>
              <w:pStyle w:val="Compact"/>
            </w:pPr>
            <w:r>
              <w:t xml:space="preserve">0.607 (±0.014)</w:t>
            </w:r>
          </w:p>
        </w:tc>
      </w:tr>
      <w:tr>
        <w:tc>
          <w:tcPr/>
          <w:p>
            <w:pPr>
              <w:pStyle w:val="Compact"/>
            </w:pPr>
            <w:r>
              <w:t xml:space="preserve">Sex + Tyrving + performance trajectory (Δ13–14)</w:t>
            </w:r>
          </w:p>
        </w:tc>
        <w:tc>
          <w:tcPr/>
          <w:p>
            <w:pPr>
              <w:pStyle w:val="Compact"/>
            </w:pPr>
            <w:r>
              <w:t xml:space="preserve">1,350</w:t>
            </w:r>
          </w:p>
        </w:tc>
        <w:tc>
          <w:tcPr/>
          <w:p>
            <w:pPr>
              <w:pStyle w:val="Compact"/>
            </w:pPr>
            <w:r>
              <w:t xml:space="preserve">0.640</w:t>
            </w:r>
          </w:p>
        </w:tc>
      </w:tr>
      <w:tr>
        <w:tc>
          <w:tcPr/>
          <w:p>
            <w:pPr>
              <w:pStyle w:val="Compact"/>
            </w:pPr>
            <w:r>
              <w:t xml:space="preserve">Sex + pre-milestone volume</w:t>
            </w:r>
          </w:p>
        </w:tc>
        <w:tc>
          <w:tcPr/>
          <w:p>
            <w:pPr>
              <w:pStyle w:val="Compact"/>
            </w:pPr>
            <w:r>
              <w:t xml:space="preserve">1,704</w:t>
            </w:r>
          </w:p>
        </w:tc>
        <w:tc>
          <w:tcPr/>
          <w:p>
            <w:pPr>
              <w:pStyle w:val="Compact"/>
            </w:pPr>
            <w:r>
              <w:t xml:space="preserve">0.740 (±0.024)</w:t>
            </w:r>
          </w:p>
        </w:tc>
      </w:tr>
      <w:tr>
        <w:tc>
          <w:tcPr/>
          <w:p>
            <w:pPr>
              <w:pStyle w:val="Compact"/>
            </w:pPr>
            <w:r>
              <w:t xml:space="preserve">Sex + Tyrving + pre-milestone volume</w:t>
            </w:r>
          </w:p>
        </w:tc>
        <w:tc>
          <w:tcPr/>
          <w:p>
            <w:pPr>
              <w:pStyle w:val="Compact"/>
            </w:pPr>
            <w:r>
              <w:t xml:space="preserve">1,704</w:t>
            </w:r>
          </w:p>
        </w:tc>
        <w:tc>
          <w:tcPr/>
          <w:p>
            <w:pPr>
              <w:pStyle w:val="Compact"/>
            </w:pPr>
            <w:r>
              <w:t xml:space="preserve">0.737 (±0.021)</w:t>
            </w:r>
          </w:p>
        </w:tc>
      </w:tr>
    </w:tbl>
    <w:p>
      <w:pPr>
        <w:pStyle w:val="BodyText"/>
      </w:pPr>
      <w:r>
        <w:rPr>
          <w:i/>
          <w:iCs/>
        </w:rPr>
        <w:t xml:space="preserve">Note.</w:t>
      </w:r>
      <w:r>
        <w:t xml:space="preserve"> </w:t>
      </w:r>
      <w:r>
        <w:t xml:space="preserve">Even in a fully time-aligned comparison (both predictors observed during the baseline window of ages 13–14), behavior substantially out-predicts performance. The performance-trajectory row requires Tyrving scores in both the age-13 and age-14 seasons and is therefore estimated on the smaller subsample with both available (n = 1,350).</w:t>
      </w:r>
    </w:p>
    <w:bookmarkEnd w:id="34"/>
    <w:bookmarkStart w:id="35" w:name="X17e9a4b8e4f294fe106d952e9382005d4b3183b"/>
    <w:p>
      <w:pPr>
        <w:pStyle w:val="Heading2"/>
      </w:pPr>
      <w:r>
        <w:t xml:space="preserve">Table S16. Cox time-to-cessation with structural controls (baseline-only predictors)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1.16</w:t>
            </w:r>
          </w:p>
        </w:tc>
        <w:tc>
          <w:tcPr/>
          <w:p>
            <w:pPr>
              <w:pStyle w:val="Compact"/>
            </w:pPr>
            <w:r>
              <w:t xml:space="preserve">[1.04, 1.28]</w:t>
            </w:r>
          </w:p>
        </w:tc>
        <w:tc>
          <w:tcPr/>
          <w:p>
            <w:pPr>
              <w:pStyle w:val="Compact"/>
            </w:pPr>
            <w:r>
              <w:t xml:space="preserve">.005</w:t>
            </w:r>
          </w:p>
        </w:tc>
      </w:tr>
      <w:tr>
        <w:tc>
          <w:tcPr/>
          <w:p>
            <w:pPr>
              <w:pStyle w:val="Compact"/>
            </w:pPr>
            <w:r>
              <w:t xml:space="preserve">Tyrving (z)</w:t>
            </w:r>
          </w:p>
        </w:tc>
        <w:tc>
          <w:tcPr/>
          <w:p>
            <w:pPr>
              <w:pStyle w:val="Compact"/>
            </w:pPr>
            <w:r>
              <w:t xml:space="preserve">0.99</w:t>
            </w:r>
          </w:p>
        </w:tc>
        <w:tc>
          <w:tcPr/>
          <w:p>
            <w:pPr>
              <w:pStyle w:val="Compact"/>
            </w:pPr>
            <w:r>
              <w:t xml:space="preserve">[0.94, 1.04]</w:t>
            </w:r>
          </w:p>
        </w:tc>
        <w:tc>
          <w:tcPr/>
          <w:p>
            <w:pPr>
              <w:pStyle w:val="Compact"/>
            </w:pPr>
            <w:r>
              <w:t xml:space="preserve">.749</w:t>
            </w:r>
          </w:p>
        </w:tc>
      </w:tr>
      <w:tr>
        <w:tc>
          <w:tcPr/>
          <w:p>
            <w:pPr>
              <w:pStyle w:val="Compact"/>
            </w:pPr>
            <w:r>
              <w:t xml:space="preserve">HHI early (z)</w:t>
            </w:r>
          </w:p>
        </w:tc>
        <w:tc>
          <w:tcPr/>
          <w:p>
            <w:pPr>
              <w:pStyle w:val="Compact"/>
            </w:pPr>
            <w:r>
              <w:t xml:space="preserve">0.80</w:t>
            </w:r>
          </w:p>
        </w:tc>
        <w:tc>
          <w:tcPr/>
          <w:p>
            <w:pPr>
              <w:pStyle w:val="Compact"/>
            </w:pPr>
            <w:r>
              <w:t xml:space="preserve">[0.76, 0.85]</w:t>
            </w:r>
          </w:p>
        </w:tc>
        <w:tc>
          <w:tcPr/>
          <w:p>
            <w:pPr>
              <w:pStyle w:val="Compact"/>
            </w:pPr>
            <w:r>
              <w:t xml:space="preserve">&lt; .001</w:t>
            </w:r>
          </w:p>
        </w:tc>
      </w:tr>
      <w:tr>
        <w:tc>
          <w:tcPr/>
          <w:p>
            <w:pPr>
              <w:pStyle w:val="Compact"/>
            </w:pPr>
            <w:r>
              <w:rPr>
                <w:b/>
                <w:bCs/>
              </w:rPr>
              <w:t xml:space="preserve">Pre-milestone volume (z)</w:t>
            </w:r>
          </w:p>
        </w:tc>
        <w:tc>
          <w:tcPr/>
          <w:p>
            <w:pPr>
              <w:pStyle w:val="Compact"/>
            </w:pPr>
            <w:r>
              <w:rPr>
                <w:b/>
                <w:bCs/>
              </w:rPr>
              <w:t xml:space="preserve">0.49</w:t>
            </w:r>
          </w:p>
        </w:tc>
        <w:tc>
          <w:tcPr/>
          <w:p>
            <w:pPr>
              <w:pStyle w:val="Compact"/>
            </w:pPr>
            <w:r>
              <w:rPr>
                <w:b/>
                <w:bCs/>
              </w:rPr>
              <w:t xml:space="preserve">[0.46, 0.53]</w:t>
            </w:r>
          </w:p>
        </w:tc>
        <w:tc>
          <w:tcPr/>
          <w:p>
            <w:pPr>
              <w:pStyle w:val="Compact"/>
            </w:pPr>
            <w:r>
              <w:rPr>
                <w:b/>
                <w:bCs/>
              </w:rPr>
              <w:t xml:space="preserve">&lt; .001</w:t>
            </w:r>
          </w:p>
        </w:tc>
      </w:tr>
      <w:tr>
        <w:tc>
          <w:tcPr/>
          <w:p>
            <w:pPr>
              <w:pStyle w:val="Compact"/>
            </w:pPr>
            <w:r>
              <w:t xml:space="preserve">Q1 born</w:t>
            </w:r>
          </w:p>
        </w:tc>
        <w:tc>
          <w:tcPr/>
          <w:p>
            <w:pPr>
              <w:pStyle w:val="Compact"/>
            </w:pPr>
            <w:r>
              <w:t xml:space="preserve">1.01</w:t>
            </w:r>
          </w:p>
        </w:tc>
        <w:tc>
          <w:tcPr/>
          <w:p>
            <w:pPr>
              <w:pStyle w:val="Compact"/>
            </w:pPr>
            <w:r>
              <w:t xml:space="preserve">[0.90, 1.13]</w:t>
            </w:r>
          </w:p>
        </w:tc>
        <w:tc>
          <w:tcPr/>
          <w:p>
            <w:pPr>
              <w:pStyle w:val="Compact"/>
            </w:pPr>
            <w:r>
              <w:t xml:space="preserve">.913</w:t>
            </w:r>
          </w:p>
        </w:tc>
      </w:tr>
      <w:tr>
        <w:tc>
          <w:tcPr/>
          <w:p>
            <w:pPr>
              <w:pStyle w:val="Compact"/>
            </w:pPr>
            <w:r>
              <w:t xml:space="preserve">Q4 born</w:t>
            </w:r>
          </w:p>
        </w:tc>
        <w:tc>
          <w:tcPr/>
          <w:p>
            <w:pPr>
              <w:pStyle w:val="Compact"/>
            </w:pPr>
            <w:r>
              <w:t xml:space="preserve">0.88</w:t>
            </w:r>
          </w:p>
        </w:tc>
        <w:tc>
          <w:tcPr/>
          <w:p>
            <w:pPr>
              <w:pStyle w:val="Compact"/>
            </w:pPr>
            <w:r>
              <w:t xml:space="preserve">[0.76, 1.01]</w:t>
            </w:r>
          </w:p>
        </w:tc>
        <w:tc>
          <w:tcPr/>
          <w:p>
            <w:pPr>
              <w:pStyle w:val="Compact"/>
            </w:pPr>
            <w:r>
              <w:t xml:space="preserve">.074</w:t>
            </w:r>
          </w:p>
        </w:tc>
      </w:tr>
      <w:tr>
        <w:tc>
          <w:tcPr/>
          <w:p>
            <w:pPr>
              <w:pStyle w:val="Compact"/>
            </w:pPr>
            <w:r>
              <w:t xml:space="preserve">Region: Østlandet</w:t>
            </w:r>
          </w:p>
        </w:tc>
        <w:tc>
          <w:tcPr/>
          <w:p>
            <w:pPr>
              <w:pStyle w:val="Compact"/>
            </w:pPr>
            <w:r>
              <w:t xml:space="preserve">0.93</w:t>
            </w:r>
          </w:p>
        </w:tc>
        <w:tc>
          <w:tcPr/>
          <w:p>
            <w:pPr>
              <w:pStyle w:val="Compact"/>
            </w:pPr>
            <w:r>
              <w:t xml:space="preserve">[0.82, 1.05]</w:t>
            </w:r>
          </w:p>
        </w:tc>
        <w:tc>
          <w:tcPr/>
          <w:p>
            <w:pPr>
              <w:pStyle w:val="Compact"/>
            </w:pPr>
            <w:r>
              <w:t xml:space="preserve">.219</w:t>
            </w:r>
          </w:p>
        </w:tc>
      </w:tr>
      <w:tr>
        <w:tc>
          <w:tcPr/>
          <w:p>
            <w:pPr>
              <w:pStyle w:val="Compact"/>
            </w:pPr>
            <w:r>
              <w:t xml:space="preserve">Region: Midt-Norge</w:t>
            </w:r>
          </w:p>
        </w:tc>
        <w:tc>
          <w:tcPr/>
          <w:p>
            <w:pPr>
              <w:pStyle w:val="Compact"/>
            </w:pPr>
            <w:r>
              <w:t xml:space="preserve">1.02</w:t>
            </w:r>
          </w:p>
        </w:tc>
        <w:tc>
          <w:tcPr/>
          <w:p>
            <w:pPr>
              <w:pStyle w:val="Compact"/>
            </w:pPr>
            <w:r>
              <w:t xml:space="preserve">[0.89, 1.16]</w:t>
            </w:r>
          </w:p>
        </w:tc>
        <w:tc>
          <w:tcPr/>
          <w:p>
            <w:pPr>
              <w:pStyle w:val="Compact"/>
            </w:pPr>
            <w:r>
              <w:t xml:space="preserve">.785</w:t>
            </w:r>
          </w:p>
        </w:tc>
      </w:tr>
      <w:tr>
        <w:tc>
          <w:tcPr/>
          <w:p>
            <w:pPr>
              <w:pStyle w:val="Compact"/>
            </w:pPr>
            <w:r>
              <w:t xml:space="preserve">Club size (z)</w:t>
            </w:r>
          </w:p>
        </w:tc>
        <w:tc>
          <w:tcPr/>
          <w:p>
            <w:pPr>
              <w:pStyle w:val="Compact"/>
            </w:pPr>
            <w:r>
              <w:t xml:space="preserve">1.02</w:t>
            </w:r>
          </w:p>
        </w:tc>
        <w:tc>
          <w:tcPr/>
          <w:p>
            <w:pPr>
              <w:pStyle w:val="Compact"/>
            </w:pPr>
            <w:r>
              <w:t xml:space="preserve">[0.97, 1.07]</w:t>
            </w:r>
          </w:p>
        </w:tc>
        <w:tc>
          <w:tcPr/>
          <w:p>
            <w:pPr>
              <w:pStyle w:val="Compact"/>
            </w:pPr>
            <w:r>
              <w:t xml:space="preserve">.517</w:t>
            </w:r>
          </w:p>
        </w:tc>
      </w:tr>
    </w:tbl>
    <w:p>
      <w:pPr>
        <w:pStyle w:val="BodyText"/>
      </w:pPr>
      <w:r>
        <w:rPr>
          <w:i/>
          <w:iCs/>
        </w:rPr>
        <w:t xml:space="preserve">Note.</w:t>
      </w:r>
      <w:r>
        <w:t xml:space="preserve"> </w:t>
      </w:r>
      <w:r>
        <w:t xml:space="preserve">n = 1,704; C-index = 0.742. Higher HHI (specialization) associated with lower dropout hazard.</w:t>
      </w:r>
    </w:p>
    <w:bookmarkEnd w:id="35"/>
    <w:bookmarkStart w:id="36" w:name="Xf13287c4a9ad644959b75465c58f32083ba4e76"/>
    <w:p>
      <w:pPr>
        <w:pStyle w:val="Heading2"/>
      </w:pPr>
      <w:r>
        <w:t xml:space="preserve">Table S17. Cross-validated AUC for nested predictor subsets predicting senior retention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 set</w:t>
            </w:r>
          </w:p>
        </w:tc>
        <w:tc>
          <w:tcPr/>
          <w:p>
            <w:pPr>
              <w:pStyle w:val="Compact"/>
            </w:pPr>
            <w:r>
              <w:t xml:space="preserve">n features</w:t>
            </w:r>
          </w:p>
        </w:tc>
        <w:tc>
          <w:tcPr/>
          <w:p>
            <w:pPr>
              <w:pStyle w:val="Compact"/>
            </w:pPr>
            <w:r>
              <w:t xml:space="preserve">n</w:t>
            </w:r>
          </w:p>
        </w:tc>
        <w:tc>
          <w:tcPr/>
          <w:p>
            <w:pPr>
              <w:pStyle w:val="Compact"/>
            </w:pPr>
            <w:r>
              <w:t xml:space="preserve">AUC (logistic)</w:t>
            </w:r>
          </w:p>
        </w:tc>
      </w:tr>
      <w:tr>
        <w:tc>
          <w:tcPr/>
          <w:p>
            <w:pPr>
              <w:pStyle w:val="Compact"/>
            </w:pPr>
            <w:r>
              <w:t xml:space="preserve">Baseline only (sex + Tyrving best)</w:t>
            </w:r>
          </w:p>
        </w:tc>
        <w:tc>
          <w:tcPr/>
          <w:p>
            <w:pPr>
              <w:pStyle w:val="Compact"/>
            </w:pPr>
            <w:r>
              <w:t xml:space="preserve">2</w:t>
            </w:r>
          </w:p>
        </w:tc>
        <w:tc>
          <w:tcPr/>
          <w:p>
            <w:pPr>
              <w:pStyle w:val="Compact"/>
            </w:pPr>
            <w:r>
              <w:t xml:space="preserve">1,217</w:t>
            </w:r>
          </w:p>
        </w:tc>
        <w:tc>
          <w:tcPr/>
          <w:p>
            <w:pPr>
              <w:pStyle w:val="Compact"/>
            </w:pPr>
            <w:r>
              <w:t xml:space="preserve">0.59 (±0.04)</w:t>
            </w:r>
          </w:p>
        </w:tc>
      </w:tr>
      <w:tr>
        <w:tc>
          <w:tcPr/>
          <w:p>
            <w:pPr>
              <w:pStyle w:val="Compact"/>
            </w:pPr>
            <w:r>
              <w:t xml:space="preserve">Specialization only (sex + HHI + n categories)</w:t>
            </w:r>
          </w:p>
        </w:tc>
        <w:tc>
          <w:tcPr/>
          <w:p>
            <w:pPr>
              <w:pStyle w:val="Compact"/>
            </w:pPr>
            <w:r>
              <w:t xml:space="preserve">3</w:t>
            </w:r>
          </w:p>
        </w:tc>
        <w:tc>
          <w:tcPr/>
          <w:p>
            <w:pPr>
              <w:pStyle w:val="Compact"/>
            </w:pPr>
            <w:r>
              <w:t xml:space="preserve">1,217</w:t>
            </w:r>
          </w:p>
        </w:tc>
        <w:tc>
          <w:tcPr/>
          <w:p>
            <w:pPr>
              <w:pStyle w:val="Compact"/>
            </w:pPr>
            <w:r>
              <w:t xml:space="preserve">0.60 (±0.06)</w:t>
            </w:r>
          </w:p>
        </w:tc>
      </w:tr>
      <w:tr>
        <w:tc>
          <w:tcPr/>
          <w:p>
            <w:pPr>
              <w:pStyle w:val="Compact"/>
            </w:pPr>
            <w:r>
              <w:t xml:space="preserve">Volume only (sex + meets ages 13–16)</w:t>
            </w:r>
          </w:p>
        </w:tc>
        <w:tc>
          <w:tcPr/>
          <w:p>
            <w:pPr>
              <w:pStyle w:val="Compact"/>
            </w:pPr>
            <w:r>
              <w:t xml:space="preserve">5</w:t>
            </w:r>
          </w:p>
        </w:tc>
        <w:tc>
          <w:tcPr/>
          <w:p>
            <w:pPr>
              <w:pStyle w:val="Compact"/>
            </w:pPr>
            <w:r>
              <w:t xml:space="preserve">1,217</w:t>
            </w:r>
          </w:p>
        </w:tc>
        <w:tc>
          <w:tcPr/>
          <w:p>
            <w:pPr>
              <w:pStyle w:val="Compact"/>
            </w:pPr>
            <w:r>
              <w:t xml:space="preserve">0.82 (±0.03)</w:t>
            </w:r>
          </w:p>
        </w:tc>
      </w:tr>
      <w:tr>
        <w:tc>
          <w:tcPr/>
          <w:p>
            <w:pPr>
              <w:pStyle w:val="Compact"/>
            </w:pPr>
            <w:r>
              <w:t xml:space="preserve">Volume + specialization (pre-baseline behavioral)</w:t>
            </w:r>
          </w:p>
        </w:tc>
        <w:tc>
          <w:tcPr/>
          <w:p>
            <w:pPr>
              <w:pStyle w:val="Compact"/>
            </w:pPr>
            <w:r>
              <w:t xml:space="preserve">8</w:t>
            </w:r>
          </w:p>
        </w:tc>
        <w:tc>
          <w:tcPr/>
          <w:p>
            <w:pPr>
              <w:pStyle w:val="Compact"/>
            </w:pPr>
            <w:r>
              <w:t xml:space="preserve">1,217</w:t>
            </w:r>
          </w:p>
        </w:tc>
        <w:tc>
          <w:tcPr/>
          <w:p>
            <w:pPr>
              <w:pStyle w:val="Compact"/>
            </w:pPr>
            <w:r>
              <w:t xml:space="preserve">0.82 (±0.03)</w:t>
            </w:r>
          </w:p>
        </w:tc>
      </w:tr>
      <w:tr>
        <w:tc>
          <w:tcPr/>
          <w:p>
            <w:pPr>
              <w:pStyle w:val="Compact"/>
            </w:pPr>
            <w:r>
              <w:t xml:space="preserve">Full model (all 22 predictors)</w:t>
            </w:r>
          </w:p>
        </w:tc>
        <w:tc>
          <w:tcPr/>
          <w:p>
            <w:pPr>
              <w:pStyle w:val="Compact"/>
            </w:pPr>
            <w:r>
              <w:t xml:space="preserve">22</w:t>
            </w:r>
          </w:p>
        </w:tc>
        <w:tc>
          <w:tcPr/>
          <w:p>
            <w:pPr>
              <w:pStyle w:val="Compact"/>
            </w:pPr>
            <w:r>
              <w:t xml:space="preserve">1,217</w:t>
            </w:r>
          </w:p>
        </w:tc>
        <w:tc>
          <w:tcPr/>
          <w:p>
            <w:pPr>
              <w:pStyle w:val="Compact"/>
            </w:pPr>
            <w:r>
              <w:t xml:space="preserve">0.81 (±0.03)</w:t>
            </w:r>
          </w:p>
        </w:tc>
      </w:tr>
    </w:tbl>
    <w:p>
      <w:pPr>
        <w:pStyle w:val="BodyText"/>
      </w:pPr>
      <w:r>
        <w:rPr>
          <w:i/>
          <w:iCs/>
        </w:rPr>
        <w:t xml:space="preserve">Note.</w:t>
      </w:r>
      <w:r>
        <w:t xml:space="preserve"> </w:t>
      </w:r>
      <w:r>
        <w:t xml:space="preserve">Descriptive comparison on the subsample with complete data on all 22 candidate predictors (n = 1,217; see Supplementary Table S12). This table includes post-baseline behavioral predictors (ages 15–16) and therefore overlaps with the early portion of the at-risk window; AUCs are descriptive rather than ordinary prospective prediction quantities.</w:t>
      </w:r>
    </w:p>
    <w:bookmarkEnd w:id="36"/>
    <w:bookmarkStart w:id="37" w:name="X5c379b90a60abcbc0b20a4588c7355781c67088"/>
    <w:p>
      <w:pPr>
        <w:pStyle w:val="Heading2"/>
      </w:pPr>
      <w:r>
        <w:t xml:space="preserve">Table S18. Specialization-vs-performance confound check: does HHI proxy for performance in the primary event category?</w:t>
      </w:r>
    </w:p>
    <w:p>
      <w:pPr>
        <w:pStyle w:val="FirstParagraph"/>
      </w:pPr>
      <w:r>
        <w:t xml:space="preserve">Three logistic-regression specifications for active senior status. Model A is the primary L4 model (using maximum Tyrving across all baseline events). Model B adds the best Tyrving score in the athlete’s</w:t>
      </w:r>
      <w:r>
        <w:t xml:space="preserve"> </w:t>
      </w:r>
      <w:r>
        <w:rPr>
          <w:i/>
          <w:iCs/>
        </w:rPr>
        <w:t xml:space="preserve">primary</w:t>
      </w:r>
      <w:r>
        <w:t xml:space="preserve"> </w:t>
      </w:r>
      <w:r>
        <w:t xml:space="preserve">baseline event category (tyrving_main). Model C replaces tyrving_best with tyrving_main.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rPr>
                <w:b/>
                <w:bCs/>
              </w:rPr>
              <w:t xml:space="preserve">A</w:t>
            </w:r>
            <w:r>
              <w:t xml:space="preserve">: Primary L4 (with tyrving_best)</w:t>
            </w:r>
          </w:p>
        </w:tc>
        <w:tc>
          <w:tcPr/>
          <w:p>
            <w:pPr>
              <w:pStyle w:val="Compact"/>
            </w:pPr>
            <w:r>
              <w:t xml:space="preserve">Female</w:t>
            </w:r>
          </w:p>
        </w:tc>
        <w:tc>
          <w:tcPr/>
          <w:p>
            <w:pPr>
              <w:pStyle w:val="Compact"/>
            </w:pPr>
            <w:r>
              <w:t xml:space="preserve">0.61</w:t>
            </w:r>
          </w:p>
        </w:tc>
        <w:tc>
          <w:tcPr/>
          <w:p>
            <w:pPr>
              <w:pStyle w:val="Compact"/>
            </w:pPr>
            <w:r>
              <w:t xml:space="preserve">[0.46, 0.80]</w:t>
            </w:r>
          </w:p>
        </w:tc>
        <w:tc>
          <w:tcPr/>
          <w:p>
            <w:pPr>
              <w:pStyle w:val="Compact"/>
            </w:pPr>
            <w:r>
              <w:t xml:space="preserve">&lt; .001</w:t>
            </w:r>
          </w:p>
        </w:tc>
      </w:tr>
      <w:tr>
        <w:tc>
          <w:tcPr/>
          <w:p>
            <w:pPr>
              <w:pStyle w:val="Compact"/>
            </w:pPr>
            <w:r>
              <w:t xml:space="preserve">n = 1,704</w:t>
            </w:r>
          </w:p>
        </w:tc>
        <w:tc>
          <w:tcPr/>
          <w:p>
            <w:pPr>
              <w:pStyle w:val="Compact"/>
            </w:pPr>
            <w:r>
              <w:t xml:space="preserve">Tyrving best (z)</w:t>
            </w:r>
          </w:p>
        </w:tc>
        <w:tc>
          <w:tcPr/>
          <w:p>
            <w:pPr>
              <w:pStyle w:val="Compact"/>
            </w:pPr>
            <w:r>
              <w:t xml:space="preserve">1.12</w:t>
            </w:r>
          </w:p>
        </w:tc>
        <w:tc>
          <w:tcPr/>
          <w:p>
            <w:pPr>
              <w:pStyle w:val="Compact"/>
            </w:pPr>
            <w:r>
              <w:t xml:space="preserve">[0.96, 1.30]</w:t>
            </w:r>
          </w:p>
        </w:tc>
        <w:tc>
          <w:tcPr/>
          <w:p>
            <w:pPr>
              <w:pStyle w:val="Compact"/>
            </w:pPr>
            <w:r>
              <w:t xml:space="preserve">.144</w:t>
            </w:r>
          </w:p>
        </w:tc>
      </w:tr>
      <w:tr>
        <w:tc>
          <w:tcPr/>
          <w:p>
            <w:pPr>
              <w:pStyle w:val="Compact"/>
            </w:pPr>
          </w:p>
        </w:tc>
        <w:tc>
          <w:tcPr/>
          <w:p>
            <w:pPr>
              <w:pStyle w:val="Compact"/>
            </w:pPr>
            <w:r>
              <w:rPr>
                <w:b/>
                <w:bCs/>
              </w:rPr>
              <w:t xml:space="preserve">HHI early (z)</w:t>
            </w:r>
          </w:p>
        </w:tc>
        <w:tc>
          <w:tcPr/>
          <w:p>
            <w:pPr>
              <w:pStyle w:val="Compact"/>
            </w:pPr>
            <w:r>
              <w:rPr>
                <w:b/>
                <w:bCs/>
              </w:rPr>
              <w:t xml:space="preserve">1.36</w:t>
            </w:r>
          </w:p>
        </w:tc>
        <w:tc>
          <w:tcPr/>
          <w:p>
            <w:pPr>
              <w:pStyle w:val="Compact"/>
            </w:pPr>
            <w:r>
              <w:rPr>
                <w:b/>
                <w:bCs/>
              </w:rPr>
              <w:t xml:space="preserve">[1.17, 1.57]</w:t>
            </w:r>
          </w:p>
        </w:tc>
        <w:tc>
          <w:tcPr/>
          <w:p>
            <w:pPr>
              <w:pStyle w:val="Compact"/>
            </w:pPr>
            <w:r>
              <w:rPr>
                <w:b/>
                <w:bCs/>
              </w:rPr>
              <w:t xml:space="preserve">&lt; .001</w:t>
            </w:r>
          </w:p>
        </w:tc>
      </w:tr>
      <w:tr>
        <w:tc>
          <w:tcPr/>
          <w:p>
            <w:pPr>
              <w:pStyle w:val="Compact"/>
            </w:pPr>
          </w:p>
        </w:tc>
        <w:tc>
          <w:tcPr/>
          <w:p>
            <w:pPr>
              <w:pStyle w:val="Compact"/>
            </w:pPr>
            <w:r>
              <w:t xml:space="preserve">Pre-milestone volume (z)</w:t>
            </w:r>
          </w:p>
        </w:tc>
        <w:tc>
          <w:tcPr/>
          <w:p>
            <w:pPr>
              <w:pStyle w:val="Compact"/>
            </w:pPr>
            <w:r>
              <w:t xml:space="preserve">2.40</w:t>
            </w:r>
          </w:p>
        </w:tc>
        <w:tc>
          <w:tcPr/>
          <w:p>
            <w:pPr>
              <w:pStyle w:val="Compact"/>
            </w:pPr>
            <w:r>
              <w:t xml:space="preserve">[2.08, 2.76]</w:t>
            </w:r>
          </w:p>
        </w:tc>
        <w:tc>
          <w:tcPr/>
          <w:p>
            <w:pPr>
              <w:pStyle w:val="Compact"/>
            </w:pPr>
            <w:r>
              <w:t xml:space="preserve">&lt; .001</w:t>
            </w:r>
          </w:p>
        </w:tc>
      </w:tr>
      <w:tr>
        <w:tc>
          <w:tcPr/>
          <w:p>
            <w:pPr>
              <w:pStyle w:val="Compact"/>
            </w:pPr>
            <w:r>
              <w:rPr>
                <w:b/>
                <w:bCs/>
              </w:rPr>
              <w:t xml:space="preserve">B</w:t>
            </w:r>
            <w:r>
              <w:t xml:space="preserve">: + Tyrving in primary category</w:t>
            </w:r>
          </w:p>
        </w:tc>
        <w:tc>
          <w:tcPr/>
          <w:p>
            <w:pPr>
              <w:pStyle w:val="Compact"/>
            </w:pPr>
            <w:r>
              <w:t xml:space="preserve">Female</w:t>
            </w:r>
          </w:p>
        </w:tc>
        <w:tc>
          <w:tcPr/>
          <w:p>
            <w:pPr>
              <w:pStyle w:val="Compact"/>
            </w:pPr>
            <w:r>
              <w:t xml:space="preserve">0.62</w:t>
            </w:r>
          </w:p>
        </w:tc>
        <w:tc>
          <w:tcPr/>
          <w:p>
            <w:pPr>
              <w:pStyle w:val="Compact"/>
            </w:pPr>
            <w:r>
              <w:t xml:space="preserve">[0.47, 0.83]</w:t>
            </w:r>
          </w:p>
        </w:tc>
        <w:tc>
          <w:tcPr/>
          <w:p>
            <w:pPr>
              <w:pStyle w:val="Compact"/>
            </w:pPr>
            <w:r>
              <w:t xml:space="preserve">.001</w:t>
            </w:r>
          </w:p>
        </w:tc>
      </w:tr>
      <w:tr>
        <w:tc>
          <w:tcPr/>
          <w:p>
            <w:pPr>
              <w:pStyle w:val="Compact"/>
            </w:pPr>
            <w:r>
              <w:t xml:space="preserve">n = 1,521</w:t>
            </w:r>
          </w:p>
        </w:tc>
        <w:tc>
          <w:tcPr/>
          <w:p>
            <w:pPr>
              <w:pStyle w:val="Compact"/>
            </w:pPr>
            <w:r>
              <w:t xml:space="preserve">Tyrving best (z)</w:t>
            </w:r>
          </w:p>
        </w:tc>
        <w:tc>
          <w:tcPr/>
          <w:p>
            <w:pPr>
              <w:pStyle w:val="Compact"/>
            </w:pPr>
            <w:r>
              <w:t xml:space="preserve">1.08</w:t>
            </w:r>
          </w:p>
        </w:tc>
        <w:tc>
          <w:tcPr/>
          <w:p>
            <w:pPr>
              <w:pStyle w:val="Compact"/>
            </w:pPr>
            <w:r>
              <w:t xml:space="preserve">[0.89, 1.31]</w:t>
            </w:r>
          </w:p>
        </w:tc>
        <w:tc>
          <w:tcPr/>
          <w:p>
            <w:pPr>
              <w:pStyle w:val="Compact"/>
            </w:pPr>
            <w:r>
              <w:t xml:space="preserve">.428</w:t>
            </w:r>
          </w:p>
        </w:tc>
      </w:tr>
      <w:tr>
        <w:tc>
          <w:tcPr/>
          <w:p>
            <w:pPr>
              <w:pStyle w:val="Compact"/>
            </w:pPr>
          </w:p>
        </w:tc>
        <w:tc>
          <w:tcPr/>
          <w:p>
            <w:pPr>
              <w:pStyle w:val="Compact"/>
            </w:pPr>
            <w:r>
              <w:rPr>
                <w:b/>
                <w:bCs/>
              </w:rPr>
              <w:t xml:space="preserve">HHI early (z)</w:t>
            </w:r>
          </w:p>
        </w:tc>
        <w:tc>
          <w:tcPr/>
          <w:p>
            <w:pPr>
              <w:pStyle w:val="Compact"/>
            </w:pPr>
            <w:r>
              <w:rPr>
                <w:b/>
                <w:bCs/>
              </w:rPr>
              <w:t xml:space="preserve">1.32</w:t>
            </w:r>
          </w:p>
        </w:tc>
        <w:tc>
          <w:tcPr/>
          <w:p>
            <w:pPr>
              <w:pStyle w:val="Compact"/>
            </w:pPr>
            <w:r>
              <w:rPr>
                <w:b/>
                <w:bCs/>
              </w:rPr>
              <w:t xml:space="preserve">[1.13, 1.54]</w:t>
            </w:r>
          </w:p>
        </w:tc>
        <w:tc>
          <w:tcPr/>
          <w:p>
            <w:pPr>
              <w:pStyle w:val="Compact"/>
            </w:pPr>
            <w:r>
              <w:rPr>
                <w:b/>
                <w:bCs/>
              </w:rPr>
              <w:t xml:space="preserve">&lt; .001</w:t>
            </w:r>
          </w:p>
        </w:tc>
      </w:tr>
      <w:tr>
        <w:tc>
          <w:tcPr/>
          <w:p>
            <w:pPr>
              <w:pStyle w:val="Compact"/>
            </w:pPr>
          </w:p>
        </w:tc>
        <w:tc>
          <w:tcPr/>
          <w:p>
            <w:pPr>
              <w:pStyle w:val="Compact"/>
            </w:pPr>
            <w:r>
              <w:t xml:space="preserve">Pre-milestone volume (z)</w:t>
            </w:r>
          </w:p>
        </w:tc>
        <w:tc>
          <w:tcPr/>
          <w:p>
            <w:pPr>
              <w:pStyle w:val="Compact"/>
            </w:pPr>
            <w:r>
              <w:t xml:space="preserve">2.31</w:t>
            </w:r>
          </w:p>
        </w:tc>
        <w:tc>
          <w:tcPr/>
          <w:p>
            <w:pPr>
              <w:pStyle w:val="Compact"/>
            </w:pPr>
            <w:r>
              <w:t xml:space="preserve">[1.97, 2.71]</w:t>
            </w:r>
          </w:p>
        </w:tc>
        <w:tc>
          <w:tcPr/>
          <w:p>
            <w:pPr>
              <w:pStyle w:val="Compact"/>
            </w:pPr>
            <w:r>
              <w:t xml:space="preserve">&lt; .001</w:t>
            </w:r>
          </w:p>
        </w:tc>
      </w:tr>
      <w:tr>
        <w:tc>
          <w:tcPr/>
          <w:p>
            <w:pPr>
              <w:pStyle w:val="Compact"/>
            </w:pPr>
          </w:p>
        </w:tc>
        <w:tc>
          <w:tcPr/>
          <w:p>
            <w:pPr>
              <w:pStyle w:val="Compact"/>
            </w:pPr>
            <w:r>
              <w:t xml:space="preserve">Tyrving main category (z)</w:t>
            </w:r>
          </w:p>
        </w:tc>
        <w:tc>
          <w:tcPr/>
          <w:p>
            <w:pPr>
              <w:pStyle w:val="Compact"/>
            </w:pPr>
            <w:r>
              <w:t xml:space="preserve">1.08</w:t>
            </w:r>
          </w:p>
        </w:tc>
        <w:tc>
          <w:tcPr/>
          <w:p>
            <w:pPr>
              <w:pStyle w:val="Compact"/>
            </w:pPr>
            <w:r>
              <w:t xml:space="preserve">[0.89, 1.32]</w:t>
            </w:r>
          </w:p>
        </w:tc>
        <w:tc>
          <w:tcPr/>
          <w:p>
            <w:pPr>
              <w:pStyle w:val="Compact"/>
            </w:pPr>
            <w:r>
              <w:t xml:space="preserve">.445</w:t>
            </w:r>
          </w:p>
        </w:tc>
      </w:tr>
      <w:tr>
        <w:tc>
          <w:tcPr/>
          <w:p>
            <w:pPr>
              <w:pStyle w:val="Compact"/>
            </w:pPr>
            <w:r>
              <w:rPr>
                <w:b/>
                <w:bCs/>
              </w:rPr>
              <w:t xml:space="preserve">C</w:t>
            </w:r>
            <w:r>
              <w:t xml:space="preserve">: Tyrving main replaces tyrving_best</w:t>
            </w:r>
          </w:p>
        </w:tc>
        <w:tc>
          <w:tcPr/>
          <w:p>
            <w:pPr>
              <w:pStyle w:val="Compact"/>
            </w:pPr>
            <w:r>
              <w:t xml:space="preserve">Female</w:t>
            </w:r>
          </w:p>
        </w:tc>
        <w:tc>
          <w:tcPr/>
          <w:p>
            <w:pPr>
              <w:pStyle w:val="Compact"/>
            </w:pPr>
            <w:r>
              <w:t xml:space="preserve">0.62</w:t>
            </w:r>
          </w:p>
        </w:tc>
        <w:tc>
          <w:tcPr/>
          <w:p>
            <w:pPr>
              <w:pStyle w:val="Compact"/>
            </w:pPr>
            <w:r>
              <w:t xml:space="preserve">[0.47, 0.83]</w:t>
            </w:r>
          </w:p>
        </w:tc>
        <w:tc>
          <w:tcPr/>
          <w:p>
            <w:pPr>
              <w:pStyle w:val="Compact"/>
            </w:pPr>
            <w:r>
              <w:t xml:space="preserve">.001</w:t>
            </w:r>
          </w:p>
        </w:tc>
      </w:tr>
      <w:tr>
        <w:tc>
          <w:tcPr/>
          <w:p>
            <w:pPr>
              <w:pStyle w:val="Compact"/>
            </w:pPr>
            <w:r>
              <w:t xml:space="preserve">n = 1,632</w:t>
            </w:r>
          </w:p>
        </w:tc>
        <w:tc>
          <w:tcPr/>
          <w:p>
            <w:pPr>
              <w:pStyle w:val="Compact"/>
            </w:pPr>
            <w:r>
              <w:t xml:space="preserve">Tyrving main category (z)</w:t>
            </w:r>
          </w:p>
        </w:tc>
        <w:tc>
          <w:tcPr/>
          <w:p>
            <w:pPr>
              <w:pStyle w:val="Compact"/>
            </w:pPr>
            <w:r>
              <w:t xml:space="preserve">1.13</w:t>
            </w:r>
          </w:p>
        </w:tc>
        <w:tc>
          <w:tcPr/>
          <w:p>
            <w:pPr>
              <w:pStyle w:val="Compact"/>
            </w:pPr>
            <w:r>
              <w:t xml:space="preserve">[0.96, 1.34]</w:t>
            </w:r>
          </w:p>
        </w:tc>
        <w:tc>
          <w:tcPr/>
          <w:p>
            <w:pPr>
              <w:pStyle w:val="Compact"/>
            </w:pPr>
            <w:r>
              <w:t xml:space="preserve">.128</w:t>
            </w:r>
          </w:p>
        </w:tc>
      </w:tr>
      <w:tr>
        <w:tc>
          <w:tcPr/>
          <w:p>
            <w:pPr>
              <w:pStyle w:val="Compact"/>
            </w:pPr>
          </w:p>
        </w:tc>
        <w:tc>
          <w:tcPr/>
          <w:p>
            <w:pPr>
              <w:pStyle w:val="Compact"/>
            </w:pPr>
            <w:r>
              <w:rPr>
                <w:b/>
                <w:bCs/>
              </w:rPr>
              <w:t xml:space="preserve">HHI early (z)</w:t>
            </w:r>
          </w:p>
        </w:tc>
        <w:tc>
          <w:tcPr/>
          <w:p>
            <w:pPr>
              <w:pStyle w:val="Compact"/>
            </w:pPr>
            <w:r>
              <w:rPr>
                <w:b/>
                <w:bCs/>
              </w:rPr>
              <w:t xml:space="preserve">1.33</w:t>
            </w:r>
          </w:p>
        </w:tc>
        <w:tc>
          <w:tcPr/>
          <w:p>
            <w:pPr>
              <w:pStyle w:val="Compact"/>
            </w:pPr>
            <w:r>
              <w:rPr>
                <w:b/>
                <w:bCs/>
              </w:rPr>
              <w:t xml:space="preserve">[1.15, 1.54]</w:t>
            </w:r>
          </w:p>
        </w:tc>
        <w:tc>
          <w:tcPr/>
          <w:p>
            <w:pPr>
              <w:pStyle w:val="Compact"/>
            </w:pPr>
            <w:r>
              <w:rPr>
                <w:b/>
                <w:bCs/>
              </w:rPr>
              <w:t xml:space="preserve">&lt; .001</w:t>
            </w:r>
          </w:p>
        </w:tc>
      </w:tr>
      <w:tr>
        <w:tc>
          <w:tcPr/>
          <w:p>
            <w:pPr>
              <w:pStyle w:val="Compact"/>
            </w:pPr>
          </w:p>
        </w:tc>
        <w:tc>
          <w:tcPr/>
          <w:p>
            <w:pPr>
              <w:pStyle w:val="Compact"/>
            </w:pPr>
            <w:r>
              <w:t xml:space="preserve">Pre-milestone volume (z)</w:t>
            </w:r>
          </w:p>
        </w:tc>
        <w:tc>
          <w:tcPr/>
          <w:p>
            <w:pPr>
              <w:pStyle w:val="Compact"/>
            </w:pPr>
            <w:r>
              <w:t xml:space="preserve">2.32</w:t>
            </w:r>
          </w:p>
        </w:tc>
        <w:tc>
          <w:tcPr/>
          <w:p>
            <w:pPr>
              <w:pStyle w:val="Compact"/>
            </w:pPr>
            <w:r>
              <w:t xml:space="preserve">[1.99, 2.70]</w:t>
            </w:r>
          </w:p>
        </w:tc>
        <w:tc>
          <w:tcPr/>
          <w:p>
            <w:pPr>
              <w:pStyle w:val="Compact"/>
            </w:pPr>
            <w:r>
              <w:t xml:space="preserve">&lt; .001</w:t>
            </w:r>
          </w:p>
        </w:tc>
      </w:tr>
    </w:tbl>
    <w:p>
      <w:pPr>
        <w:pStyle w:val="BodyText"/>
      </w:pPr>
      <w:r>
        <w:rPr>
          <w:i/>
          <w:iCs/>
        </w:rPr>
        <w:t xml:space="preserve">Note.</w:t>
      </w:r>
      <w:r>
        <w:t xml:space="preserve"> </w:t>
      </w:r>
      <w:r>
        <w:t xml:space="preserve">Correlations: HHI early vs. Tyrving best, r = –0.07; HHI early vs. Tyrving main category, r = –0.05; Tyrving best vs. Tyrving main, r = 0.63. HHI and performance are essentially uncorrelated. The HHI effect is virtually identical across the three specifications (OR 1.32–1.36), and primary-category Tyrving is itself not a significant predictor of retention in any model. The HHI association is therefore not capturing a hidden main-event performance effect.</w:t>
      </w:r>
    </w:p>
    <w:p>
      <w:r>
        <w:pict>
          <v:rect style="width:0;height:1.5pt" o:hralign="center" o:hrstd="t" o:hr="t"/>
        </w:pict>
      </w:r>
    </w:p>
    <w:bookmarkEnd w:id="37"/>
    <w:bookmarkStart w:id="38" w:name="Xc8accab7ade573d502b054b99d36f5b2909ba72"/>
    <w:p>
      <w:pPr>
        <w:pStyle w:val="Heading2"/>
      </w:pPr>
      <w:r>
        <w:t xml:space="preserve">Table S19. Exit-aligned volume trajectories among dropouts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Aligned volume T−3 (median [IQR])</w:t>
            </w:r>
          </w:p>
        </w:tc>
        <w:tc>
          <w:tcPr/>
          <w:p>
            <w:pPr>
              <w:pStyle w:val="Compact"/>
            </w:pPr>
            <w:r>
              <w:t xml:space="preserve">12 [6–18]</w:t>
            </w:r>
          </w:p>
        </w:tc>
        <w:tc>
          <w:tcPr/>
          <w:p>
            <w:pPr>
              <w:pStyle w:val="Compact"/>
            </w:pPr>
            <w:r>
              <w:t xml:space="preserve">795</w:t>
            </w:r>
          </w:p>
        </w:tc>
      </w:tr>
      <w:tr>
        <w:tc>
          <w:tcPr/>
          <w:p>
            <w:pPr>
              <w:pStyle w:val="Compact"/>
            </w:pPr>
            <w:r>
              <w:t xml:space="preserve">Aligned volume T−2 (median [IQR])</w:t>
            </w:r>
          </w:p>
        </w:tc>
        <w:tc>
          <w:tcPr/>
          <w:p>
            <w:pPr>
              <w:pStyle w:val="Compact"/>
            </w:pPr>
            <w:r>
              <w:t xml:space="preserve">10 [6–16]</w:t>
            </w:r>
          </w:p>
        </w:tc>
        <w:tc>
          <w:tcPr/>
          <w:p>
            <w:pPr>
              <w:pStyle w:val="Compact"/>
            </w:pPr>
            <w:r>
              <w:t xml:space="preserve">1,139</w:t>
            </w:r>
          </w:p>
        </w:tc>
      </w:tr>
      <w:tr>
        <w:tc>
          <w:tcPr/>
          <w:p>
            <w:pPr>
              <w:pStyle w:val="Compact"/>
            </w:pPr>
            <w:r>
              <w:t xml:space="preserve">Aligned volume T−1 (median [IQR])</w:t>
            </w:r>
          </w:p>
        </w:tc>
        <w:tc>
          <w:tcPr/>
          <w:p>
            <w:pPr>
              <w:pStyle w:val="Compact"/>
            </w:pPr>
            <w:r>
              <w:t xml:space="preserve">9 [5–14]</w:t>
            </w:r>
          </w:p>
        </w:tc>
        <w:tc>
          <w:tcPr/>
          <w:p>
            <w:pPr>
              <w:pStyle w:val="Compact"/>
            </w:pPr>
            <w:r>
              <w:t xml:space="preserve">1,139</w:t>
            </w:r>
          </w:p>
        </w:tc>
      </w:tr>
      <w:tr>
        <w:tc>
          <w:tcPr/>
          <w:p>
            <w:pPr>
              <w:pStyle w:val="Compact"/>
            </w:pPr>
            <w:r>
              <w:t xml:space="preserve">Aligned volume T (final season; median [IQR])</w:t>
            </w:r>
          </w:p>
        </w:tc>
        <w:tc>
          <w:tcPr/>
          <w:p>
            <w:pPr>
              <w:pStyle w:val="Compact"/>
            </w:pPr>
            <w:r>
              <w:t xml:space="preserve">4 [2–8]</w:t>
            </w:r>
          </w:p>
        </w:tc>
        <w:tc>
          <w:tcPr/>
          <w:p>
            <w:pPr>
              <w:pStyle w:val="Compact"/>
            </w:pPr>
            <w:r>
              <w:t xml:space="preserve">1,139</w:t>
            </w:r>
          </w:p>
        </w:tc>
      </w:tr>
      <w:tr>
        <w:tc>
          <w:tcPr/>
          <w:p>
            <w:pPr>
              <w:pStyle w:val="Compact"/>
            </w:pPr>
            <w:r>
              <w:t xml:space="preserve">Active (&gt;0 meets) in penultimate season</w:t>
            </w:r>
          </w:p>
        </w:tc>
        <w:tc>
          <w:tcPr/>
          <w:p>
            <w:pPr>
              <w:pStyle w:val="Compact"/>
            </w:pPr>
            <w:r>
              <w:t xml:space="preserve">95.2%</w:t>
            </w:r>
          </w:p>
        </w:tc>
        <w:tc>
          <w:tcPr/>
          <w:p>
            <w:pPr>
              <w:pStyle w:val="Compact"/>
            </w:pPr>
            <w:r>
              <w:t xml:space="preserve">1,139</w:t>
            </w:r>
          </w:p>
        </w:tc>
      </w:tr>
      <w:tr>
        <w:tc>
          <w:tcPr/>
          <w:p>
            <w:pPr>
              <w:pStyle w:val="Compact"/>
            </w:pPr>
            <w:r>
              <w:t xml:space="preserve">Reduced-but-nonzero penultimate season (final age ≥16)</w:t>
            </w:r>
          </w:p>
        </w:tc>
        <w:tc>
          <w:tcPr/>
          <w:p>
            <w:pPr>
              <w:pStyle w:val="Compact"/>
            </w:pPr>
            <w:r>
              <w:t xml:space="preserve">74.2%</w:t>
            </w:r>
          </w:p>
        </w:tc>
        <w:tc>
          <w:tcPr/>
          <w:p>
            <w:pPr>
              <w:pStyle w:val="Compact"/>
            </w:pPr>
            <w:r>
              <w:t xml:space="preserve">795</w:t>
            </w:r>
          </w:p>
        </w:tc>
      </w:tr>
      <w:tr>
        <w:tc>
          <w:tcPr/>
          <w:p>
            <w:pPr>
              <w:pStyle w:val="Compact"/>
            </w:pPr>
            <w:r>
              <w:t xml:space="preserve">Penultimate season zero (gap year before final)</w:t>
            </w:r>
          </w:p>
        </w:tc>
        <w:tc>
          <w:tcPr/>
          <w:p>
            <w:pPr>
              <w:pStyle w:val="Compact"/>
            </w:pPr>
            <w:r>
              <w:t xml:space="preserve">6.5%</w:t>
            </w:r>
          </w:p>
        </w:tc>
        <w:tc>
          <w:tcPr/>
          <w:p>
            <w:pPr>
              <w:pStyle w:val="Compact"/>
            </w:pPr>
            <w:r>
              <w:t xml:space="preserve">795</w:t>
            </w:r>
          </w:p>
        </w:tc>
      </w:tr>
      <w:tr>
        <w:tc>
          <w:tcPr/>
          <w:p>
            <w:pPr>
              <w:pStyle w:val="Compact"/>
            </w:pPr>
            <w:r>
              <w:t xml:space="preserve">Penultimate at personal peak (abrupt profile)</w:t>
            </w:r>
          </w:p>
        </w:tc>
        <w:tc>
          <w:tcPr/>
          <w:p>
            <w:pPr>
              <w:pStyle w:val="Compact"/>
            </w:pPr>
            <w:r>
              <w:t xml:space="preserve">19.2%</w:t>
            </w:r>
          </w:p>
        </w:tc>
        <w:tc>
          <w:tcPr/>
          <w:p>
            <w:pPr>
              <w:pStyle w:val="Compact"/>
            </w:pPr>
            <w:r>
              <w:t xml:space="preserve">795</w:t>
            </w:r>
          </w:p>
        </w:tc>
      </w:tr>
      <w:tr>
        <w:tc>
          <w:tcPr/>
          <w:p>
            <w:pPr>
              <w:pStyle w:val="Compact"/>
            </w:pPr>
            <w:r>
              <w:t xml:space="preserve">Volume in final season below personal peak</w:t>
            </w:r>
          </w:p>
        </w:tc>
        <w:tc>
          <w:tcPr/>
          <w:p>
            <w:pPr>
              <w:pStyle w:val="Compact"/>
            </w:pPr>
            <w:r>
              <w:t xml:space="preserve">93.5%</w:t>
            </w:r>
          </w:p>
        </w:tc>
        <w:tc>
          <w:tcPr/>
          <w:p>
            <w:pPr>
              <w:pStyle w:val="Compact"/>
            </w:pPr>
            <w:r>
              <w:t xml:space="preserve">1,139</w:t>
            </w:r>
          </w:p>
        </w:tc>
      </w:tr>
      <w:tr>
        <w:tc>
          <w:tcPr/>
          <w:p>
            <w:pPr>
              <w:pStyle w:val="Compact"/>
            </w:pPr>
            <w:r>
              <w:t xml:space="preserve">Change model among active at 16: volume at 15 (per SD)</w:t>
            </w:r>
          </w:p>
        </w:tc>
        <w:tc>
          <w:tcPr/>
          <w:p>
            <w:pPr>
              <w:pStyle w:val="Compact"/>
            </w:pPr>
            <w:r>
              <w:t xml:space="preserve">OR 3.04 [2.55, 3.62]</w:t>
            </w:r>
          </w:p>
        </w:tc>
        <w:tc>
          <w:tcPr/>
          <w:p>
            <w:pPr>
              <w:pStyle w:val="Compact"/>
            </w:pPr>
            <w:r>
              <w:t xml:space="preserve">1,075</w:t>
            </w:r>
          </w:p>
        </w:tc>
      </w:tr>
      <w:tr>
        <w:tc>
          <w:tcPr/>
          <w:p>
            <w:pPr>
              <w:pStyle w:val="Compact"/>
            </w:pPr>
            <w:r>
              <w:t xml:space="preserve">Change model among active at 16: change 15→16 (per SD)</w:t>
            </w:r>
          </w:p>
        </w:tc>
        <w:tc>
          <w:tcPr/>
          <w:p>
            <w:pPr>
              <w:pStyle w:val="Compact"/>
            </w:pPr>
            <w:r>
              <w:t xml:space="preserve">OR 1.88 [1.60, 2.20]</w:t>
            </w:r>
          </w:p>
        </w:tc>
        <w:tc>
          <w:tcPr/>
          <w:p>
            <w:pPr>
              <w:pStyle w:val="Compact"/>
            </w:pPr>
            <w:r>
              <w:t xml:space="preserve">1,075</w:t>
            </w:r>
          </w:p>
        </w:tc>
      </w:tr>
    </w:tbl>
    <w:p>
      <w:pPr>
        <w:pStyle w:val="BodyText"/>
      </w:pPr>
      <w:r>
        <w:rPr>
          <w:i/>
          <w:iCs/>
        </w:rPr>
        <w:t xml:space="preserve">Note.</w:t>
      </w:r>
      <w:r>
        <w:t xml:space="preserve"> </w:t>
      </w:r>
      <w:r>
        <w:t xml:space="preserve">Each dropout’s volume history aligned to their own final active season (T; last calendar year with ≥2 results); dropouts with final seasons at ages 15–19 (n = 1,139; T−3 observable only where final age ≥16).</w:t>
      </w:r>
      <w:r>
        <w:t xml:space="preserve"> </w:t>
      </w:r>
      <w:r>
        <w:t xml:space="preserve">“Reduced-but-nonzero”</w:t>
      </w:r>
      <w:r>
        <w:t xml:space="preserve"> </w:t>
      </w:r>
      <w:r>
        <w:t xml:space="preserve">= penultimate volume above zero but below the athlete’s earlier personal peak. The change model is a logistic regression for senior status among athletes with ≥2 results at age 16 (CV-AUC = 0.758); all predictors are measured by 16, so neither predictor can be the exit itself. See Supplementary Methods S-M6.</w:t>
      </w:r>
    </w:p>
    <w:bookmarkEnd w:id="38"/>
    <w:bookmarkStart w:id="39" w:name="X651f1b6a27b355ae6991d539d822a3faedfbabf"/>
    <w:p>
      <w:pPr>
        <w:pStyle w:val="Heading2"/>
      </w:pPr>
      <w:r>
        <w:t xml:space="preserve">Table S20. HHI count-dependence stress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w:t>
            </w:r>
          </w:p>
        </w:tc>
        <w:tc>
          <w:tcPr/>
          <w:p>
            <w:pPr>
              <w:pStyle w:val="Compact"/>
            </w:pPr>
            <w:r>
              <w:t xml:space="preserve">HHI OR [95% CI]</w:t>
            </w:r>
          </w:p>
        </w:tc>
        <w:tc>
          <w:tcPr/>
          <w:p>
            <w:pPr>
              <w:pStyle w:val="Compact"/>
            </w:pPr>
            <w:r>
              <w:t xml:space="preserve">Volume OR</w:t>
            </w:r>
          </w:p>
        </w:tc>
      </w:tr>
      <w:tr>
        <w:tc>
          <w:tcPr/>
          <w:p>
            <w:pPr>
              <w:pStyle w:val="Compact"/>
            </w:pPr>
            <w:r>
              <w:t xml:space="preserve">Primary L4 (all)</w:t>
            </w:r>
          </w:p>
        </w:tc>
        <w:tc>
          <w:tcPr/>
          <w:p>
            <w:pPr>
              <w:pStyle w:val="Compact"/>
            </w:pPr>
            <w:r>
              <w:t xml:space="preserve">1,704</w:t>
            </w:r>
          </w:p>
        </w:tc>
        <w:tc>
          <w:tcPr/>
          <w:p>
            <w:pPr>
              <w:pStyle w:val="Compact"/>
            </w:pPr>
            <w:r>
              <w:t xml:space="preserve">1.36 [1.17, 1.57]</w:t>
            </w:r>
          </w:p>
        </w:tc>
        <w:tc>
          <w:tcPr/>
          <w:p>
            <w:pPr>
              <w:pStyle w:val="Compact"/>
            </w:pPr>
            <w:r>
              <w:t xml:space="preserve">2.40</w:t>
            </w:r>
          </w:p>
        </w:tc>
      </w:tr>
      <w:tr>
        <w:tc>
          <w:tcPr/>
          <w:p>
            <w:pPr>
              <w:pStyle w:val="Compact"/>
            </w:pPr>
            <w:r>
              <w:t xml:space="preserve">Restricted: ≥5 results in first three seasons</w:t>
            </w:r>
          </w:p>
        </w:tc>
        <w:tc>
          <w:tcPr/>
          <w:p>
            <w:pPr>
              <w:pStyle w:val="Compact"/>
            </w:pPr>
            <w:r>
              <w:t xml:space="preserve">1,673</w:t>
            </w:r>
          </w:p>
        </w:tc>
        <w:tc>
          <w:tcPr/>
          <w:p>
            <w:pPr>
              <w:pStyle w:val="Compact"/>
            </w:pPr>
            <w:r>
              <w:t xml:space="preserve">1.38 [1.20, 1.59]</w:t>
            </w:r>
          </w:p>
        </w:tc>
        <w:tc>
          <w:tcPr/>
          <w:p>
            <w:pPr>
              <w:pStyle w:val="Compact"/>
            </w:pPr>
            <w:r>
              <w:t xml:space="preserve">2.36</w:t>
            </w:r>
          </w:p>
        </w:tc>
      </w:tr>
      <w:tr>
        <w:tc>
          <w:tcPr/>
          <w:p>
            <w:pPr>
              <w:pStyle w:val="Compact"/>
            </w:pPr>
            <w:r>
              <w:t xml:space="preserve">Restricted: ≥8 results in first three seasons</w:t>
            </w:r>
          </w:p>
        </w:tc>
        <w:tc>
          <w:tcPr/>
          <w:p>
            <w:pPr>
              <w:pStyle w:val="Compact"/>
            </w:pPr>
            <w:r>
              <w:t xml:space="preserve">1,608</w:t>
            </w:r>
          </w:p>
        </w:tc>
        <w:tc>
          <w:tcPr/>
          <w:p>
            <w:pPr>
              <w:pStyle w:val="Compact"/>
            </w:pPr>
            <w:r>
              <w:t xml:space="preserve">1.39 [1.20, 1.60]</w:t>
            </w:r>
          </w:p>
        </w:tc>
        <w:tc>
          <w:tcPr/>
          <w:p>
            <w:pPr>
              <w:pStyle w:val="Compact"/>
            </w:pPr>
            <w:r>
              <w:t xml:space="preserve">2.31</w:t>
            </w:r>
          </w:p>
        </w:tc>
      </w:tr>
      <w:tr>
        <w:tc>
          <w:tcPr/>
          <w:p>
            <w:pPr>
              <w:pStyle w:val="Compact"/>
            </w:pPr>
            <w:r>
              <w:t xml:space="preserve">Finite-sample-corrected HHI* = (HHI − 1/n)/(1 − 1/n)</w:t>
            </w:r>
          </w:p>
        </w:tc>
        <w:tc>
          <w:tcPr/>
          <w:p>
            <w:pPr>
              <w:pStyle w:val="Compact"/>
            </w:pPr>
            <w:r>
              <w:t xml:space="preserve">1,699</w:t>
            </w:r>
          </w:p>
        </w:tc>
        <w:tc>
          <w:tcPr/>
          <w:p>
            <w:pPr>
              <w:pStyle w:val="Compact"/>
            </w:pPr>
            <w:r>
              <w:t xml:space="preserve">1.39 [1.20, 1.60]</w:t>
            </w:r>
          </w:p>
        </w:tc>
        <w:tc>
          <w:tcPr/>
          <w:p>
            <w:pPr>
              <w:pStyle w:val="Compact"/>
            </w:pPr>
            <w:r>
              <w:t xml:space="preserve">2.36</w:t>
            </w:r>
          </w:p>
        </w:tc>
      </w:tr>
    </w:tbl>
    <w:p>
      <w:pPr>
        <w:pStyle w:val="BodyText"/>
      </w:pPr>
      <w:r>
        <w:rPr>
          <w:i/>
          <w:iCs/>
        </w:rPr>
        <w:t xml:space="preserve">Note.</w:t>
      </w:r>
      <w:r>
        <w:t xml:space="preserve"> </w:t>
      </w:r>
      <w:r>
        <w:t xml:space="preserve">Spearman correlations: HHI vs. result count in first three seasons ρ = −.38; HHI vs. pre-milestone volume ρ = −.21. The HHI–retention association is unchanged under count restrictions and the corrected index; it is not a small-count artifact. See Supplementary Methods S-M8.</w:t>
      </w:r>
    </w:p>
    <w:bookmarkEnd w:id="39"/>
    <w:bookmarkStart w:id="40" w:name="X7daa7dc096a2e0cab520a2d8424e1cb1742f6c0"/>
    <w:p>
      <w:pPr>
        <w:pStyle w:val="Heading2"/>
      </w:pPr>
      <w:r>
        <w:t xml:space="preserve">Table S21. Multiple-imputation sensitivity for the primary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w:t>
            </w:r>
          </w:p>
        </w:tc>
        <w:tc>
          <w:tcPr/>
          <w:p>
            <w:pPr>
              <w:pStyle w:val="Compact"/>
            </w:pPr>
            <w:r>
              <w:t xml:space="preserve">Volume OR [95% CI]</w:t>
            </w:r>
          </w:p>
        </w:tc>
        <w:tc>
          <w:tcPr/>
          <w:p>
            <w:pPr>
              <w:pStyle w:val="Compact"/>
            </w:pPr>
            <w:r>
              <w:t xml:space="preserve">HHI OR [95% CI]</w:t>
            </w:r>
          </w:p>
        </w:tc>
      </w:tr>
      <w:tr>
        <w:tc>
          <w:tcPr/>
          <w:p>
            <w:pPr>
              <w:pStyle w:val="Compact"/>
            </w:pPr>
            <w:r>
              <w:t xml:space="preserve">Complete case (primary)</w:t>
            </w:r>
          </w:p>
        </w:tc>
        <w:tc>
          <w:tcPr/>
          <w:p>
            <w:pPr>
              <w:pStyle w:val="Compact"/>
            </w:pPr>
            <w:r>
              <w:t xml:space="preserve">1,704</w:t>
            </w:r>
          </w:p>
        </w:tc>
        <w:tc>
          <w:tcPr/>
          <w:p>
            <w:pPr>
              <w:pStyle w:val="Compact"/>
            </w:pPr>
            <w:r>
              <w:t xml:space="preserve">2.40 [2.08, 2.76]</w:t>
            </w:r>
          </w:p>
        </w:tc>
        <w:tc>
          <w:tcPr/>
          <w:p>
            <w:pPr>
              <w:pStyle w:val="Compact"/>
            </w:pPr>
            <w:r>
              <w:t xml:space="preserve">1.36 [1.17, 1.57]</w:t>
            </w:r>
          </w:p>
        </w:tc>
      </w:tr>
      <w:tr>
        <w:tc>
          <w:tcPr/>
          <w:p>
            <w:pPr>
              <w:pStyle w:val="Compact"/>
            </w:pPr>
            <w:r>
              <w:t xml:space="preserve">Multiple imputation (m = 20, Rubin-pooled)</w:t>
            </w:r>
          </w:p>
        </w:tc>
        <w:tc>
          <w:tcPr/>
          <w:p>
            <w:pPr>
              <w:pStyle w:val="Compact"/>
            </w:pPr>
            <w:r>
              <w:t xml:space="preserve">2,099</w:t>
            </w:r>
          </w:p>
        </w:tc>
        <w:tc>
          <w:tcPr/>
          <w:p>
            <w:pPr>
              <w:pStyle w:val="Compact"/>
            </w:pPr>
            <w:r>
              <w:t xml:space="preserve">2.34 [2.07, 2.66]</w:t>
            </w:r>
          </w:p>
        </w:tc>
        <w:tc>
          <w:tcPr/>
          <w:p>
            <w:pPr>
              <w:pStyle w:val="Compact"/>
            </w:pPr>
            <w:r>
              <w:t xml:space="preserve">1.32 [1.16, 1.49]</w:t>
            </w:r>
          </w:p>
        </w:tc>
      </w:tr>
    </w:tbl>
    <w:bookmarkEnd w:id="40"/>
    <w:bookmarkStart w:id="41" w:name="table-s22.-club-level-analyses"/>
    <w:p>
      <w:pPr>
        <w:pStyle w:val="Heading2"/>
      </w:pPr>
      <w:r>
        <w:t xml:space="preserve">Table S22. Club-level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ICC of pre-milestone volume across baseline clubs</w:t>
            </w:r>
          </w:p>
        </w:tc>
        <w:tc>
          <w:tcPr/>
          <w:p>
            <w:pPr>
              <w:pStyle w:val="Compact"/>
            </w:pPr>
            <w:r>
              <w:t xml:space="preserve">0.25</w:t>
            </w:r>
          </w:p>
        </w:tc>
        <w:tc>
          <w:tcPr/>
          <w:p>
            <w:pPr>
              <w:pStyle w:val="Compact"/>
            </w:pPr>
            <w:r>
              <w:t xml:space="preserve">1,704 athletes, 277 clubs</w:t>
            </w:r>
          </w:p>
        </w:tc>
      </w:tr>
      <w:tr>
        <w:tc>
          <w:tcPr/>
          <w:p>
            <w:pPr>
              <w:pStyle w:val="Compact"/>
            </w:pPr>
            <w:r>
              <w:t xml:space="preserve">Volume OR, primary (no club terms)</w:t>
            </w:r>
          </w:p>
        </w:tc>
        <w:tc>
          <w:tcPr/>
          <w:p>
            <w:pPr>
              <w:pStyle w:val="Compact"/>
            </w:pPr>
            <w:r>
              <w:t xml:space="preserve">2.40</w:t>
            </w:r>
          </w:p>
        </w:tc>
        <w:tc>
          <w:tcPr/>
          <w:p>
            <w:pPr>
              <w:pStyle w:val="Compact"/>
            </w:pPr>
            <w:r>
              <w:t xml:space="preserve">1,704</w:t>
            </w:r>
          </w:p>
        </w:tc>
      </w:tr>
      <w:tr>
        <w:tc>
          <w:tcPr/>
          <w:p>
            <w:pPr>
              <w:pStyle w:val="Compact"/>
            </w:pPr>
            <w:r>
              <w:t xml:space="preserve">Volume OR, club random intercepts</w:t>
            </w:r>
          </w:p>
        </w:tc>
        <w:tc>
          <w:tcPr/>
          <w:p>
            <w:pPr>
              <w:pStyle w:val="Compact"/>
            </w:pPr>
            <w:r>
              <w:t xml:space="preserve">2.58 [2.27, 2.93]</w:t>
            </w:r>
          </w:p>
        </w:tc>
        <w:tc>
          <w:tcPr/>
          <w:p>
            <w:pPr>
              <w:pStyle w:val="Compact"/>
            </w:pPr>
            <w:r>
              <w:t xml:space="preserve">1,704</w:t>
            </w:r>
          </w:p>
        </w:tc>
      </w:tr>
      <w:tr>
        <w:tc>
          <w:tcPr/>
          <w:p>
            <w:pPr>
              <w:pStyle w:val="Compact"/>
            </w:pPr>
            <w:r>
              <w:t xml:space="preserve">HHI OR, club random intercepts</w:t>
            </w:r>
          </w:p>
        </w:tc>
        <w:tc>
          <w:tcPr/>
          <w:p>
            <w:pPr>
              <w:pStyle w:val="Compact"/>
            </w:pPr>
            <w:r>
              <w:t xml:space="preserve">1.31</w:t>
            </w:r>
          </w:p>
        </w:tc>
        <w:tc>
          <w:tcPr/>
          <w:p>
            <w:pPr>
              <w:pStyle w:val="Compact"/>
            </w:pPr>
            <w:r>
              <w:t xml:space="preserve">1,704</w:t>
            </w:r>
          </w:p>
        </w:tc>
      </w:tr>
    </w:tbl>
    <w:p>
      <w:pPr>
        <w:pStyle w:val="BodyText"/>
      </w:pPr>
      <w:r>
        <w:rPr>
          <w:i/>
          <w:iCs/>
        </w:rPr>
        <w:t xml:space="preserve">Note.</w:t>
      </w:r>
      <w:r>
        <w:t xml:space="preserve"> </w:t>
      </w:r>
      <w:r>
        <w:t xml:space="preserve">A quarter of the variance in pre-milestone volume lies between clubs, but the within-club volume effect is, if anything, slightly larger than the pooled estimate: the association is not a club-supply artifact. See Supplementary Methods S-M7.</w:t>
      </w:r>
    </w:p>
    <w:bookmarkEnd w:id="41"/>
    <w:bookmarkStart w:id="42" w:name="X3cbcd96a1e07d322c76d8fcdad9a9c36aa007b0"/>
    <w:p>
      <w:pPr>
        <w:pStyle w:val="Heading2"/>
      </w:pPr>
      <w:r>
        <w:t xml:space="preserve">Table S23. Calibration of the primary model (cross-validated)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Calibration slope</w:t>
            </w:r>
          </w:p>
        </w:tc>
        <w:tc>
          <w:tcPr/>
          <w:p>
            <w:pPr>
              <w:pStyle w:val="Compact"/>
            </w:pPr>
            <w:r>
              <w:t xml:space="preserve">0.96</w:t>
            </w:r>
          </w:p>
        </w:tc>
      </w:tr>
      <w:tr>
        <w:tc>
          <w:tcPr/>
          <w:p>
            <w:pPr>
              <w:pStyle w:val="Compact"/>
            </w:pPr>
            <w:r>
              <w:t xml:space="preserve">Calibration intercept</w:t>
            </w:r>
          </w:p>
        </w:tc>
        <w:tc>
          <w:tcPr/>
          <w:p>
            <w:pPr>
              <w:pStyle w:val="Compact"/>
            </w:pPr>
            <w:r>
              <w:t xml:space="preserve">−0.06</w:t>
            </w:r>
          </w:p>
        </w:tc>
      </w:tr>
      <w:tr>
        <w:tc>
          <w:tcPr/>
          <w:p>
            <w:pPr>
              <w:pStyle w:val="Compact"/>
            </w:pPr>
            <w:r>
              <w:t xml:space="preserve">Brier score</w:t>
            </w:r>
          </w:p>
        </w:tc>
        <w:tc>
          <w:tcPr/>
          <w:p>
            <w:pPr>
              <w:pStyle w:val="Compact"/>
            </w:pPr>
            <w:r>
              <w:t xml:space="preserve">0.122</w:t>
            </w:r>
          </w:p>
        </w:tc>
      </w:tr>
      <w:tr>
        <w:tc>
          <w:tcPr/>
          <w:p>
            <w:pPr>
              <w:pStyle w:val="Compact"/>
            </w:pPr>
            <w:r>
              <w:t xml:space="preserve">n</w:t>
            </w:r>
          </w:p>
        </w:tc>
        <w:tc>
          <w:tcPr/>
          <w:p>
            <w:pPr>
              <w:pStyle w:val="Compact"/>
            </w:pPr>
            <w:r>
              <w:t xml:space="preserve">1,704</w:t>
            </w:r>
          </w:p>
        </w:tc>
      </w:tr>
    </w:tbl>
    <w:bookmarkEnd w:id="42"/>
    <w:bookmarkStart w:id="43" w:name="X97c73d879ebe3aefb794823b9ec2663ce2591c5"/>
    <w:p>
      <w:pPr>
        <w:pStyle w:val="Heading2"/>
      </w:pPr>
      <w:r>
        <w:t xml:space="preserve">Table S24. Fixed-window outcome (ages 20–22)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Outcome</w:t>
            </w:r>
          </w:p>
        </w:tc>
        <w:tc>
          <w:tcPr/>
          <w:p>
            <w:pPr>
              <w:pStyle w:val="Compact"/>
            </w:pPr>
            <w:r>
              <w:t xml:space="preserve">Prevalence</w:t>
            </w:r>
          </w:p>
        </w:tc>
        <w:tc>
          <w:tcPr/>
          <w:p>
            <w:pPr>
              <w:pStyle w:val="Compact"/>
            </w:pPr>
            <w:r>
              <w:t xml:space="preserve">Cohort A</w:t>
            </w:r>
          </w:p>
        </w:tc>
        <w:tc>
          <w:tcPr/>
          <w:p>
            <w:pPr>
              <w:pStyle w:val="Compact"/>
            </w:pPr>
            <w:r>
              <w:t xml:space="preserve">Cohort B</w:t>
            </w:r>
          </w:p>
        </w:tc>
        <w:tc>
          <w:tcPr/>
          <w:p>
            <w:pPr>
              <w:pStyle w:val="Compact"/>
            </w:pPr>
            <w:r>
              <w:t xml:space="preserve">Volume OR [95% CI]</w:t>
            </w:r>
          </w:p>
        </w:tc>
        <w:tc>
          <w:tcPr/>
          <w:p>
            <w:pPr>
              <w:pStyle w:val="Compact"/>
            </w:pPr>
            <w:r>
              <w:t xml:space="preserve">CV-AUC</w:t>
            </w:r>
          </w:p>
        </w:tc>
        <w:tc>
          <w:tcPr/>
          <w:p>
            <w:pPr>
              <w:pStyle w:val="Compact"/>
            </w:pPr>
            <w:r>
              <w:t xml:space="preserve">n</w:t>
            </w:r>
          </w:p>
        </w:tc>
      </w:tr>
      <w:tr>
        <w:tc>
          <w:tcPr/>
          <w:p>
            <w:pPr>
              <w:pStyle w:val="Compact"/>
            </w:pPr>
            <w:r>
              <w:t xml:space="preserve">≥2 results in any season at ages 20–22</w:t>
            </w:r>
          </w:p>
        </w:tc>
        <w:tc>
          <w:tcPr/>
          <w:p>
            <w:pPr>
              <w:pStyle w:val="Compact"/>
            </w:pPr>
            <w:r>
              <w:t xml:space="preserve">0.158</w:t>
            </w:r>
          </w:p>
        </w:tc>
        <w:tc>
          <w:tcPr/>
          <w:p>
            <w:pPr>
              <w:pStyle w:val="Compact"/>
            </w:pPr>
            <w:r>
              <w:t xml:space="preserve">0.153</w:t>
            </w:r>
          </w:p>
        </w:tc>
        <w:tc>
          <w:tcPr/>
          <w:p>
            <w:pPr>
              <w:pStyle w:val="Compact"/>
            </w:pPr>
            <w:r>
              <w:t xml:space="preserve">0.167</w:t>
            </w:r>
          </w:p>
        </w:tc>
        <w:tc>
          <w:tcPr/>
          <w:p>
            <w:pPr>
              <w:pStyle w:val="Compact"/>
            </w:pPr>
            <w:r>
              <w:t xml:space="preserve">2.43 [2.10, 2.81]</w:t>
            </w:r>
          </w:p>
        </w:tc>
        <w:tc>
          <w:tcPr/>
          <w:p>
            <w:pPr>
              <w:pStyle w:val="Compact"/>
            </w:pPr>
            <w:r>
              <w:t xml:space="preserve">0.762</w:t>
            </w:r>
          </w:p>
        </w:tc>
        <w:tc>
          <w:tcPr/>
          <w:p>
            <w:pPr>
              <w:pStyle w:val="Compact"/>
            </w:pPr>
            <w:r>
              <w:t xml:space="preserve">1,704</w:t>
            </w:r>
          </w:p>
        </w:tc>
      </w:tr>
    </w:tbl>
    <w:p>
      <w:pPr>
        <w:pStyle w:val="BodyText"/>
      </w:pPr>
      <w:r>
        <w:rPr>
          <w:i/>
          <w:iCs/>
        </w:rPr>
        <w:t xml:space="preserve">Note.</w:t>
      </w:r>
      <w:r>
        <w:t xml:space="preserve"> </w:t>
      </w:r>
      <w:r>
        <w:t xml:space="preserve">This outcome window is fully observable for every athlete in both cohorts, removing the follow-up asymmetry of the open-ended senior definition; results are near-identical to the primary model.</w:t>
      </w:r>
    </w:p>
    <w:bookmarkEnd w:id="43"/>
    <w:bookmarkStart w:id="44" w:name="Xa6fe8b90ae43ba798c340b1c8f68f45ae7345b1"/>
    <w:p>
      <w:pPr>
        <w:pStyle w:val="Heading2"/>
      </w:pPr>
      <w:r>
        <w:t xml:space="preserve">Table S25. Included versus excluded athletes (complete-case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Included (complete case)</w:t>
            </w:r>
          </w:p>
        </w:tc>
        <w:tc>
          <w:tcPr/>
          <w:p>
            <w:pPr>
              <w:pStyle w:val="Compact"/>
            </w:pPr>
            <w:r>
              <w:t xml:space="preserve">Excluded (any missing)</w:t>
            </w:r>
          </w:p>
        </w:tc>
      </w:tr>
      <w:tr>
        <w:tc>
          <w:tcPr/>
          <w:p>
            <w:pPr>
              <w:pStyle w:val="Compact"/>
            </w:pPr>
            <w:r>
              <w:t xml:space="preserve">Senior retention</w:t>
            </w:r>
          </w:p>
        </w:tc>
        <w:tc>
          <w:tcPr/>
          <w:p>
            <w:pPr>
              <w:pStyle w:val="Compact"/>
            </w:pPr>
            <w:r>
              <w:t xml:space="preserve">16.5%</w:t>
            </w:r>
          </w:p>
        </w:tc>
        <w:tc>
          <w:tcPr/>
          <w:p>
            <w:pPr>
              <w:pStyle w:val="Compact"/>
            </w:pPr>
            <w:r>
              <w:t xml:space="preserve">16.0%</w:t>
            </w:r>
          </w:p>
        </w:tc>
      </w:tr>
      <w:tr>
        <w:tc>
          <w:tcPr/>
          <w:p>
            <w:pPr>
              <w:pStyle w:val="Compact"/>
            </w:pPr>
            <w:r>
              <w:t xml:space="preserve">Female</w:t>
            </w:r>
          </w:p>
        </w:tc>
        <w:tc>
          <w:tcPr/>
          <w:p>
            <w:pPr>
              <w:pStyle w:val="Compact"/>
            </w:pPr>
            <w:r>
              <w:t xml:space="preserve">52.8%</w:t>
            </w:r>
          </w:p>
        </w:tc>
        <w:tc>
          <w:tcPr/>
          <w:p>
            <w:pPr>
              <w:pStyle w:val="Compact"/>
            </w:pPr>
            <w:r>
              <w:t xml:space="preserve">51.6%</w:t>
            </w:r>
          </w:p>
        </w:tc>
      </w:tr>
      <w:tr>
        <w:tc>
          <w:tcPr/>
          <w:p>
            <w:pPr>
              <w:pStyle w:val="Compact"/>
            </w:pPr>
            <w:r>
              <w:t xml:space="preserve">Pre-milestone volume (mean meets)</w:t>
            </w:r>
          </w:p>
        </w:tc>
        <w:tc>
          <w:tcPr/>
          <w:p>
            <w:pPr>
              <w:pStyle w:val="Compact"/>
            </w:pPr>
            <w:r>
              <w:t xml:space="preserve">20.5</w:t>
            </w:r>
          </w:p>
        </w:tc>
        <w:tc>
          <w:tcPr/>
          <w:p>
            <w:pPr>
              <w:pStyle w:val="Compact"/>
            </w:pPr>
            <w:r>
              <w:t xml:space="preserve">22.4</w:t>
            </w:r>
          </w:p>
        </w:tc>
      </w:tr>
      <w:tr>
        <w:tc>
          <w:tcPr/>
          <w:p>
            <w:pPr>
              <w:pStyle w:val="Compact"/>
            </w:pPr>
            <w:r>
              <w:t xml:space="preserve">HHI early (mean)</w:t>
            </w:r>
          </w:p>
        </w:tc>
        <w:tc>
          <w:tcPr/>
          <w:p>
            <w:pPr>
              <w:pStyle w:val="Compact"/>
            </w:pPr>
            <w:r>
              <w:t xml:space="preserve">0.43</w:t>
            </w:r>
          </w:p>
        </w:tc>
        <w:tc>
          <w:tcPr/>
          <w:p>
            <w:pPr>
              <w:pStyle w:val="Compact"/>
            </w:pPr>
            <w:r>
              <w:t xml:space="preserve">0.47</w:t>
            </w:r>
          </w:p>
        </w:tc>
      </w:tr>
    </w:tbl>
    <w:p>
      <w:pPr>
        <w:pStyle w:val="BodyText"/>
      </w:pPr>
      <w:r>
        <w:rPr>
          <w:i/>
          <w:iCs/>
        </w:rPr>
        <w:t xml:space="preserve">Note.</w:t>
      </w:r>
      <w:r>
        <w:t xml:space="preserve"> </w:t>
      </w:r>
      <w:r>
        <w:t xml:space="preserve">n = 1,704 included, 419 excluded. Excluded athletes retain at nearly the same rate and compete slightly</w:t>
      </w:r>
      <w:r>
        <w:t xml:space="preserve"> </w:t>
      </w:r>
      <w:r>
        <w:rPr>
          <w:i/>
          <w:iCs/>
        </w:rPr>
        <w:t xml:space="preserve">more</w:t>
      </w:r>
      <w:r>
        <w:t xml:space="preserve"> </w:t>
      </w:r>
      <w:r>
        <w:t xml:space="preserve">at baseline; complete-case exclusion is thus unlikely to inflate the volume effect (the multiple-imputation estimate in Table S21 confirms this).</w:t>
      </w:r>
    </w:p>
    <w:bookmarkEnd w:id="44"/>
    <w:bookmarkEnd w:id="45"/>
    <w:bookmarkStart w:id="46" w:name="supplementary-figure-captions"/>
    <w:p>
      <w:pPr>
        <w:pStyle w:val="Heading1"/>
      </w:pPr>
      <w:r>
        <w:t xml:space="preserve">Supplementary figure captions</w:t>
      </w:r>
    </w:p>
    <w:p>
      <w:pPr>
        <w:pStyle w:val="FirstParagraph"/>
      </w:pPr>
      <w:r>
        <w:rPr>
          <w:b/>
          <w:bCs/>
        </w:rPr>
        <w:t xml:space="preserve">Figure S0.</w:t>
      </w:r>
      <w:r>
        <w:t xml:space="preserve"> </w:t>
      </w:r>
      <w:r>
        <w:t xml:space="preserve">Cohort construction flow diagram. Boundary birth years 1997 and 2003 were excluded because they had only one possible eligible edition in the cohort window. Athletes who attended both the 13-year-old and 14-year-old editions were deduplicated, with the earlier edition used as baseline. Complete-case analysis used 1,704 of 2,123 athletes; missingness was driven mainly by the Tyrving score (~20% missing) and the HHI index (~10% missing).</w:t>
      </w:r>
    </w:p>
    <w:p>
      <w:pPr>
        <w:pStyle w:val="BodyText"/>
      </w:pPr>
      <w:r>
        <w:rPr>
          <w:b/>
          <w:bCs/>
        </w:rPr>
        <w:t xml:space="preserve">Figure S1.</w:t>
      </w:r>
      <w:r>
        <w:t xml:space="preserve"> </w:t>
      </w:r>
      <w:r>
        <w:t xml:space="preserve">Calibration plot for the post-baseline Cox specification (descriptive). Predicted probability of senior retention is binned into deciles (x-axis); the y-axis shows the observed proportion retained in each decile. Points falling on the diagonal indicate perfect calibration. Calibration of the primary logistic model is reported in Supplementary Table S23.</w:t>
      </w:r>
    </w:p>
    <w:p>
      <w:pPr>
        <w:pStyle w:val="BodyText"/>
      </w:pPr>
      <w:r>
        <w:rPr>
          <w:b/>
          <w:bCs/>
        </w:rPr>
        <w:t xml:space="preserve">Figure S2.</w:t>
      </w:r>
      <w:r>
        <w:t xml:space="preserve"> </w:t>
      </w:r>
      <w:r>
        <w:t xml:space="preserve">Kaplan–Meier retention curves:</w:t>
      </w:r>
      <w:r>
        <w:t xml:space="preserve"> </w:t>
      </w:r>
      <w:r>
        <w:rPr>
          <w:b/>
          <w:bCs/>
        </w:rPr>
        <w:t xml:space="preserve">(A)</w:t>
      </w:r>
      <w:r>
        <w:t xml:space="preserve"> </w:t>
      </w:r>
      <w:r>
        <w:t xml:space="preserve">overall retention from baseline (age 13/14);</w:t>
      </w:r>
      <w:r>
        <w:t xml:space="preserve"> </w:t>
      </w:r>
      <w:r>
        <w:rPr>
          <w:b/>
          <w:bCs/>
        </w:rPr>
        <w:t xml:space="preserve">(B)</w:t>
      </w:r>
      <w:r>
        <w:t xml:space="preserve"> </w:t>
      </w:r>
      <w:r>
        <w:t xml:space="preserve">retention stratified by sex. Log-rank test for sex difference: χ² = 0.95, p = 0.33.</w:t>
      </w:r>
    </w:p>
    <w:p>
      <w:pPr>
        <w:pStyle w:val="BodyText"/>
      </w:pPr>
      <w:r>
        <w:rPr>
          <w:b/>
          <w:bCs/>
        </w:rPr>
        <w:t xml:space="preserve">Figure S3.</w:t>
      </w:r>
      <w:r>
        <w:t xml:space="preserve"> </w:t>
      </w:r>
      <w:r>
        <w:t xml:space="preserve">Kaplan–Meier retention curves stratified by the number of championship types entered before age 17 (range 0–4, comprising regional, youth-national, junior-national, and senior-national championships). Retention is strongly monotonic in number of championship types.</w:t>
      </w:r>
    </w:p>
    <w:p>
      <w:pPr>
        <w:pStyle w:val="BodyText"/>
      </w:pPr>
      <w:r>
        <w:rPr>
          <w:b/>
          <w:bCs/>
        </w:rPr>
        <w:t xml:space="preserve">Figure S4.</w:t>
      </w:r>
      <w:r>
        <w:t xml:space="preserve"> </w:t>
      </w:r>
      <w:r>
        <w:t xml:space="preserve">Time-varying hazard ratios from the secondary (post-baseline) Cox specification across three follow-up periods (years 0–3, 3–6, 6+ post-baseline). Hazard ratios are per-SD for standardized covariates and per-unit for championship types and female. Note: the early-window HR for ages-15–16 volume partly reflects operational overlap between predictor and outcome (low milestone volume is mechanical for athletes who drop out before age 15); this estimate is descriptive of the time-varying association rather than an independent prospective effect.</w:t>
      </w:r>
    </w:p>
    <w:bookmarkEnd w:id="46"/>
    <w:bookmarkStart w:id="47" w:name="X2c3b4cd33b6256d604a09889c752fc96d4ce65e"/>
    <w:p>
      <w:pPr>
        <w:pStyle w:val="Heading1"/>
      </w:pPr>
      <w:r>
        <w:t xml:space="preserve">STROBE Statement — Checklist for Cohort Studies</w:t>
      </w:r>
    </w:p>
    <w:p>
      <w:pPr>
        <w:pStyle w:val="FirstParagraph"/>
      </w:pPr>
      <w:r>
        <w:t xml:space="preserve">Manuscript:</w:t>
      </w:r>
      <w:r>
        <w:t xml:space="preserve"> </w:t>
      </w:r>
      <w:r>
        <w:rPr>
          <w:i/>
          <w:iCs/>
        </w:rPr>
        <w:t xml:space="preserve">Pulling back before dropping out: Behavioral disengagement precedes exit from Norwegian youth track and field — a 14-year register study.</w:t>
      </w:r>
      <w:r>
        <w:t xml:space="preserve"> </w:t>
      </w:r>
      <w:r>
        <w:t xml:space="preserve">Item locations refer to manuscript sections.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Recommendation</w:t>
            </w:r>
          </w:p>
        </w:tc>
        <w:tc>
          <w:tcPr/>
          <w:p>
            <w:pPr>
              <w:pStyle w:val="Compact"/>
            </w:pPr>
            <w:r>
              <w:t xml:space="preserve">Location</w:t>
            </w:r>
          </w:p>
        </w:tc>
      </w:tr>
      <w:tr>
        <w:tc>
          <w:tcPr/>
          <w:p>
            <w:pPr>
              <w:pStyle w:val="Compact"/>
            </w:pPr>
            <w:r>
              <w:t xml:space="preserve">1 Title/abstract (a)</w:t>
            </w:r>
          </w:p>
        </w:tc>
        <w:tc>
          <w:tcPr/>
          <w:p>
            <w:pPr>
              <w:pStyle w:val="Compact"/>
            </w:pPr>
            <w:r>
              <w:t xml:space="preserve">Indicate the study’s design in the title or abstract</w:t>
            </w:r>
          </w:p>
        </w:tc>
        <w:tc>
          <w:tcPr/>
          <w:p>
            <w:pPr>
              <w:pStyle w:val="Compact"/>
            </w:pPr>
            <w:r>
              <w:t xml:space="preserve">Title (</w:t>
            </w:r>
            <w:r>
              <w:t xml:space="preserve">“a 14-year register study”</w:t>
            </w:r>
            <w:r>
              <w:t xml:space="preserve">); Abstract</w:t>
            </w:r>
          </w:p>
        </w:tc>
      </w:tr>
      <w:tr>
        <w:tc>
          <w:tcPr/>
          <w:p>
            <w:pPr>
              <w:pStyle w:val="Compact"/>
            </w:pPr>
            <w:r>
              <w:t xml:space="preserve">1 (b)</w:t>
            </w:r>
          </w:p>
        </w:tc>
        <w:tc>
          <w:tcPr/>
          <w:p>
            <w:pPr>
              <w:pStyle w:val="Compact"/>
            </w:pPr>
            <w:r>
              <w:t xml:space="preserve">Informative and balanced summary in the abstract</w:t>
            </w:r>
          </w:p>
        </w:tc>
        <w:tc>
          <w:tcPr/>
          <w:p>
            <w:pPr>
              <w:pStyle w:val="Compact"/>
            </w:pPr>
            <w:r>
              <w:t xml:space="preserve">Abstract (design, n, follow-up, estimates with CIs, caveats: base rate, sensitivity)</w:t>
            </w:r>
          </w:p>
        </w:tc>
      </w:tr>
      <w:tr>
        <w:tc>
          <w:tcPr/>
          <w:p>
            <w:pPr>
              <w:pStyle w:val="Compact"/>
            </w:pPr>
            <w:r>
              <w:t xml:space="preserve">2 Background/rationale</w:t>
            </w:r>
          </w:p>
        </w:tc>
        <w:tc>
          <w:tcPr/>
          <w:p>
            <w:pPr>
              <w:pStyle w:val="Compact"/>
            </w:pPr>
            <w:r>
              <w:t xml:space="preserve">Scientific background and rationale</w:t>
            </w:r>
          </w:p>
        </w:tc>
        <w:tc>
          <w:tcPr/>
          <w:p>
            <w:pPr>
              <w:pStyle w:val="Compact"/>
            </w:pPr>
            <w:r>
              <w:t xml:space="preserve">§1–1.2</w:t>
            </w:r>
          </w:p>
        </w:tc>
      </w:tr>
      <w:tr>
        <w:tc>
          <w:tcPr/>
          <w:p>
            <w:pPr>
              <w:pStyle w:val="Compact"/>
            </w:pPr>
            <w:r>
              <w:t xml:space="preserve">3 Objectives</w:t>
            </w:r>
          </w:p>
        </w:tc>
        <w:tc>
          <w:tcPr/>
          <w:p>
            <w:pPr>
              <w:pStyle w:val="Compact"/>
            </w:pPr>
            <w:r>
              <w:t xml:space="preserve">State specific objectives, including any prespecified hypotheses</w:t>
            </w:r>
          </w:p>
        </w:tc>
        <w:tc>
          <w:tcPr/>
          <w:p>
            <w:pPr>
              <w:pStyle w:val="Compact"/>
            </w:pPr>
            <w:r>
              <w:t xml:space="preserve">§1.3 (H1–H3, with H1’s two components and H3 labeled a robustness expectation)</w:t>
            </w:r>
          </w:p>
        </w:tc>
      </w:tr>
      <w:tr>
        <w:tc>
          <w:tcPr/>
          <w:p>
            <w:pPr>
              <w:pStyle w:val="Compact"/>
            </w:pPr>
            <w:r>
              <w:t xml:space="preserve">4 Study design</w:t>
            </w:r>
          </w:p>
        </w:tc>
        <w:tc>
          <w:tcPr/>
          <w:p>
            <w:pPr>
              <w:pStyle w:val="Compact"/>
            </w:pPr>
            <w:r>
              <w:t xml:space="preserve">Present key elements of study design early</w:t>
            </w:r>
          </w:p>
        </w:tc>
        <w:tc>
          <w:tcPr/>
          <w:p>
            <w:pPr>
              <w:pStyle w:val="Compact"/>
            </w:pPr>
            <w:r>
              <w:t xml:space="preserve">§2.1</w:t>
            </w:r>
          </w:p>
        </w:tc>
      </w:tr>
      <w:tr>
        <w:tc>
          <w:tcPr/>
          <w:p>
            <w:pPr>
              <w:pStyle w:val="Compact"/>
            </w:pPr>
            <w:r>
              <w:t xml:space="preserve">5 Setting</w:t>
            </w:r>
          </w:p>
        </w:tc>
        <w:tc>
          <w:tcPr/>
          <w:p>
            <w:pPr>
              <w:pStyle w:val="Compact"/>
            </w:pPr>
            <w:r>
              <w:t xml:space="preserve">Settings, locations, relevant dates (recruitment, exposure, follow-up, data collection)</w:t>
            </w:r>
          </w:p>
        </w:tc>
        <w:tc>
          <w:tcPr/>
          <w:p>
            <w:pPr>
              <w:pStyle w:val="Compact"/>
            </w:pPr>
            <w:r>
              <w:t xml:space="preserve">§2.2–2.3 (baseline meets 2011–2016; follow-up through 2025; register updated April 2026)</w:t>
            </w:r>
          </w:p>
        </w:tc>
      </w:tr>
      <w:tr>
        <w:tc>
          <w:tcPr/>
          <w:p>
            <w:pPr>
              <w:pStyle w:val="Compact"/>
            </w:pPr>
            <w:r>
              <w:t xml:space="preserve">6 Participants (a)</w:t>
            </w:r>
          </w:p>
        </w:tc>
        <w:tc>
          <w:tcPr/>
          <w:p>
            <w:pPr>
              <w:pStyle w:val="Compact"/>
            </w:pPr>
            <w:r>
              <w:t xml:space="preserve">Eligibility criteria, sources and methods of selection; follow-up</w:t>
            </w:r>
          </w:p>
        </w:tc>
        <w:tc>
          <w:tcPr/>
          <w:p>
            <w:pPr>
              <w:pStyle w:val="Compact"/>
            </w:pPr>
            <w:r>
              <w:t xml:space="preserve">§2.2 (inclusion via baseline meet; district entry; birth years 1998–2002; de-duplication), §2.3</w:t>
            </w:r>
          </w:p>
        </w:tc>
      </w:tr>
      <w:tr>
        <w:tc>
          <w:tcPr/>
          <w:p>
            <w:pPr>
              <w:pStyle w:val="Compact"/>
            </w:pPr>
            <w:r>
              <w:t xml:space="preserve">6 (b)</w:t>
            </w:r>
          </w:p>
        </w:tc>
        <w:tc>
          <w:tcPr/>
          <w:p>
            <w:pPr>
              <w:pStyle w:val="Compact"/>
            </w:pPr>
            <w:r>
              <w:t xml:space="preserve">Matched studies — n/a</w:t>
            </w:r>
          </w:p>
        </w:tc>
        <w:tc>
          <w:tcPr/>
          <w:p>
            <w:pPr>
              <w:pStyle w:val="Compact"/>
            </w:pPr>
            <w:r>
              <w:t xml:space="preserve">—</w:t>
            </w:r>
          </w:p>
        </w:tc>
      </w:tr>
      <w:tr>
        <w:tc>
          <w:tcPr/>
          <w:p>
            <w:pPr>
              <w:pStyle w:val="Compact"/>
            </w:pPr>
            <w:r>
              <w:t xml:space="preserve">7 Variables</w:t>
            </w:r>
          </w:p>
        </w:tc>
        <w:tc>
          <w:tcPr/>
          <w:p>
            <w:pPr>
              <w:pStyle w:val="Compact"/>
            </w:pPr>
            <w:r>
              <w:t xml:space="preserve">Define outcomes, exposures, predictors, confounders, effect modifiers</w:t>
            </w:r>
          </w:p>
        </w:tc>
        <w:tc>
          <w:tcPr/>
          <w:p>
            <w:pPr>
              <w:pStyle w:val="Compact"/>
            </w:pPr>
            <w:r>
              <w:t xml:space="preserve">§2.4.1–2.4.5</w:t>
            </w:r>
          </w:p>
        </w:tc>
      </w:tr>
      <w:tr>
        <w:tc>
          <w:tcPr/>
          <w:p>
            <w:pPr>
              <w:pStyle w:val="Compact"/>
            </w:pPr>
            <w:r>
              <w:t xml:space="preserve">8 Data sources/measurement</w:t>
            </w:r>
          </w:p>
        </w:tc>
        <w:tc>
          <w:tcPr/>
          <w:p>
            <w:pPr>
              <w:pStyle w:val="Compact"/>
            </w:pPr>
            <w:r>
              <w:t xml:space="preserve">Sources of data and details of assessment methods</w:t>
            </w:r>
          </w:p>
        </w:tc>
        <w:tc>
          <w:tcPr/>
          <w:p>
            <w:pPr>
              <w:pStyle w:val="Compact"/>
            </w:pPr>
            <w:r>
              <w:t xml:space="preserve">§2.2, §2.4 (national competition register; Tyrving scoring; HHI construction)</w:t>
            </w:r>
          </w:p>
        </w:tc>
      </w:tr>
      <w:tr>
        <w:tc>
          <w:tcPr/>
          <w:p>
            <w:pPr>
              <w:pStyle w:val="Compact"/>
            </w:pPr>
            <w:r>
              <w:t xml:space="preserve">9 Bias</w:t>
            </w:r>
          </w:p>
        </w:tc>
        <w:tc>
          <w:tcPr/>
          <w:p>
            <w:pPr>
              <w:pStyle w:val="Compact"/>
            </w:pPr>
            <w:r>
              <w:t xml:space="preserve">Efforts to address potential sources of bias</w:t>
            </w:r>
          </w:p>
        </w:tc>
        <w:tc>
          <w:tcPr/>
          <w:p>
            <w:pPr>
              <w:pStyle w:val="Compact"/>
            </w:pPr>
            <w:r>
              <w:t xml:space="preserve">§2.5.1 (baseline-only design), §2.5.3 (exit-aligned + contamination-free change model), S-M1 (landmark timing), §3.4/S-M7 (club confounding), §4.2 (alternative explanations)</w:t>
            </w:r>
          </w:p>
        </w:tc>
      </w:tr>
      <w:tr>
        <w:tc>
          <w:tcPr/>
          <w:p>
            <w:pPr>
              <w:pStyle w:val="Compact"/>
            </w:pPr>
            <w:r>
              <w:t xml:space="preserve">10 Study size</w:t>
            </w:r>
          </w:p>
        </w:tc>
        <w:tc>
          <w:tcPr/>
          <w:p>
            <w:pPr>
              <w:pStyle w:val="Compact"/>
            </w:pPr>
            <w:r>
              <w:t xml:space="preserve">How the study size was arrived at</w:t>
            </w:r>
          </w:p>
        </w:tc>
        <w:tc>
          <w:tcPr/>
          <w:p>
            <w:pPr>
              <w:pStyle w:val="Compact"/>
            </w:pPr>
            <w:r>
              <w:t xml:space="preserve">§2.2 (full eligible population), §2.5.5 + S-M2 (detection capacity in lieu of a priori power)</w:t>
            </w:r>
          </w:p>
        </w:tc>
      </w:tr>
      <w:tr>
        <w:tc>
          <w:tcPr/>
          <w:p>
            <w:pPr>
              <w:pStyle w:val="Compact"/>
            </w:pPr>
            <w:r>
              <w:t xml:space="preserve">11 Quantitative variables</w:t>
            </w:r>
          </w:p>
        </w:tc>
        <w:tc>
          <w:tcPr/>
          <w:p>
            <w:pPr>
              <w:pStyle w:val="Compact"/>
            </w:pPr>
            <w:r>
              <w:t xml:space="preserve">How quantitative variables were handled; groupings</w:t>
            </w:r>
          </w:p>
        </w:tc>
        <w:tc>
          <w:tcPr/>
          <w:p>
            <w:pPr>
              <w:pStyle w:val="Compact"/>
            </w:pPr>
            <w:r>
              <w:t xml:space="preserve">§2.4 (z-standardization; per-SD effects; threshold grid in §2.5.3/Table 6)</w:t>
            </w:r>
          </w:p>
        </w:tc>
      </w:tr>
      <w:tr>
        <w:tc>
          <w:tcPr/>
          <w:p>
            <w:pPr>
              <w:pStyle w:val="Compact"/>
            </w:pPr>
            <w:r>
              <w:t xml:space="preserve">12 Statistical methods (a)</w:t>
            </w:r>
          </w:p>
        </w:tc>
        <w:tc>
          <w:tcPr/>
          <w:p>
            <w:pPr>
              <w:pStyle w:val="Compact"/>
            </w:pPr>
            <w:r>
              <w:t xml:space="preserve">All statistical methods, including confounding control</w:t>
            </w:r>
          </w:p>
        </w:tc>
        <w:tc>
          <w:tcPr/>
          <w:p>
            <w:pPr>
              <w:pStyle w:val="Compact"/>
            </w:pPr>
            <w:r>
              <w:t xml:space="preserve">§2.5.1–2.5.6; S-M1–S-M8</w:t>
            </w:r>
          </w:p>
        </w:tc>
      </w:tr>
      <w:tr>
        <w:tc>
          <w:tcPr/>
          <w:p>
            <w:pPr>
              <w:pStyle w:val="Compact"/>
            </w:pPr>
            <w:r>
              <w:t xml:space="preserve">12 (b)</w:t>
            </w:r>
          </w:p>
        </w:tc>
        <w:tc>
          <w:tcPr/>
          <w:p>
            <w:pPr>
              <w:pStyle w:val="Compact"/>
            </w:pPr>
            <w:r>
              <w:t xml:space="preserve">Subgroups and interactions</w:t>
            </w:r>
          </w:p>
        </w:tc>
        <w:tc>
          <w:tcPr/>
          <w:p>
            <w:pPr>
              <w:pStyle w:val="Compact"/>
            </w:pPr>
            <w:r>
              <w:t xml:space="preserve">§2.5.2 (structural controls), Supplementary Table S7 (sex-stratified)</w:t>
            </w:r>
          </w:p>
        </w:tc>
      </w:tr>
      <w:tr>
        <w:tc>
          <w:tcPr/>
          <w:p>
            <w:pPr>
              <w:pStyle w:val="Compact"/>
            </w:pPr>
            <w:r>
              <w:t xml:space="preserve">12 (c)</w:t>
            </w:r>
          </w:p>
        </w:tc>
        <w:tc>
          <w:tcPr/>
          <w:p>
            <w:pPr>
              <w:pStyle w:val="Compact"/>
            </w:pPr>
            <w:r>
              <w:t xml:space="preserve">Missing data</w:t>
            </w:r>
          </w:p>
        </w:tc>
        <w:tc>
          <w:tcPr/>
          <w:p>
            <w:pPr>
              <w:pStyle w:val="Compact"/>
            </w:pPr>
            <w:r>
              <w:t xml:space="preserve">§2.5.5, S-M3, Supplementary Tables S12/S21/S25</w:t>
            </w:r>
          </w:p>
        </w:tc>
      </w:tr>
      <w:tr>
        <w:tc>
          <w:tcPr/>
          <w:p>
            <w:pPr>
              <w:pStyle w:val="Compact"/>
            </w:pPr>
            <w:r>
              <w:t xml:space="preserve">12 (d)</w:t>
            </w:r>
          </w:p>
        </w:tc>
        <w:tc>
          <w:tcPr/>
          <w:p>
            <w:pPr>
              <w:pStyle w:val="Compact"/>
            </w:pPr>
            <w:r>
              <w:t xml:space="preserve">Loss to follow-up</w:t>
            </w:r>
          </w:p>
        </w:tc>
        <w:tc>
          <w:tcPr/>
          <w:p>
            <w:pPr>
              <w:pStyle w:val="Compact"/>
            </w:pPr>
            <w:r>
              <w:t xml:space="preserve">§2.3 (complete register follow-up; censoring for athletes active 2024+), Supplementary Table S24 (fixed observation window)</w:t>
            </w:r>
          </w:p>
        </w:tc>
      </w:tr>
      <w:tr>
        <w:tc>
          <w:tcPr/>
          <w:p>
            <w:pPr>
              <w:pStyle w:val="Compact"/>
            </w:pPr>
            <w:r>
              <w:t xml:space="preserve">12 (e)</w:t>
            </w:r>
          </w:p>
        </w:tc>
        <w:tc>
          <w:tcPr/>
          <w:p>
            <w:pPr>
              <w:pStyle w:val="Compact"/>
            </w:pPr>
            <w:r>
              <w:t xml:space="preserve">Sensitivity analyses</w:t>
            </w:r>
          </w:p>
        </w:tc>
        <w:tc>
          <w:tcPr/>
          <w:p>
            <w:pPr>
              <w:pStyle w:val="Compact"/>
            </w:pPr>
            <w:r>
              <w:t xml:space="preserve">§3.10; Supplementary Tables S2, S5, S9, S11, S20, S21, S24</w:t>
            </w:r>
          </w:p>
        </w:tc>
      </w:tr>
      <w:tr>
        <w:tc>
          <w:tcPr/>
          <w:p>
            <w:pPr>
              <w:pStyle w:val="Compact"/>
            </w:pPr>
            <w:r>
              <w:t xml:space="preserve">13 Participants (a)</w:t>
            </w:r>
          </w:p>
        </w:tc>
        <w:tc>
          <w:tcPr/>
          <w:p>
            <w:pPr>
              <w:pStyle w:val="Compact"/>
            </w:pPr>
            <w:r>
              <w:t xml:space="preserve">Numbers at each stage</w:t>
            </w:r>
          </w:p>
        </w:tc>
        <w:tc>
          <w:tcPr/>
          <w:p>
            <w:pPr>
              <w:pStyle w:val="Compact"/>
            </w:pPr>
            <w:r>
              <w:t xml:space="preserve">Supplementary Figure S0 (flow diagram); Supplementary Table S12 (sample flow)</w:t>
            </w:r>
          </w:p>
        </w:tc>
      </w:tr>
      <w:tr>
        <w:tc>
          <w:tcPr/>
          <w:p>
            <w:pPr>
              <w:pStyle w:val="Compact"/>
            </w:pPr>
            <w:r>
              <w:t xml:space="preserve">13 (b)</w:t>
            </w:r>
          </w:p>
        </w:tc>
        <w:tc>
          <w:tcPr/>
          <w:p>
            <w:pPr>
              <w:pStyle w:val="Compact"/>
            </w:pPr>
            <w:r>
              <w:t xml:space="preserve">Reasons for non-participation</w:t>
            </w:r>
          </w:p>
        </w:tc>
        <w:tc>
          <w:tcPr/>
          <w:p>
            <w:pPr>
              <w:pStyle w:val="Compact"/>
            </w:pPr>
            <w:r>
              <w:t xml:space="preserve">§2.2 (boundary birth years; de-duplication)</w:t>
            </w:r>
          </w:p>
        </w:tc>
      </w:tr>
      <w:tr>
        <w:tc>
          <w:tcPr/>
          <w:p>
            <w:pPr>
              <w:pStyle w:val="Compact"/>
            </w:pPr>
            <w:r>
              <w:t xml:space="preserve">13 (c)</w:t>
            </w:r>
          </w:p>
        </w:tc>
        <w:tc>
          <w:tcPr/>
          <w:p>
            <w:pPr>
              <w:pStyle w:val="Compact"/>
            </w:pPr>
            <w:r>
              <w:t xml:space="preserve">Flow diagram</w:t>
            </w:r>
          </w:p>
        </w:tc>
        <w:tc>
          <w:tcPr/>
          <w:p>
            <w:pPr>
              <w:pStyle w:val="Compact"/>
            </w:pPr>
            <w:r>
              <w:t xml:space="preserve">Supplementary Figure S0</w:t>
            </w:r>
          </w:p>
        </w:tc>
      </w:tr>
      <w:tr>
        <w:tc>
          <w:tcPr/>
          <w:p>
            <w:pPr>
              <w:pStyle w:val="Compact"/>
            </w:pPr>
            <w:r>
              <w:t xml:space="preserve">14 Descriptive data (a)</w:t>
            </w:r>
          </w:p>
        </w:tc>
        <w:tc>
          <w:tcPr/>
          <w:p>
            <w:pPr>
              <w:pStyle w:val="Compact"/>
            </w:pPr>
            <w:r>
              <w:t xml:space="preserve">Characteristics of participants</w:t>
            </w:r>
          </w:p>
        </w:tc>
        <w:tc>
          <w:tcPr/>
          <w:p>
            <w:pPr>
              <w:pStyle w:val="Compact"/>
            </w:pPr>
            <w:r>
              <w:t xml:space="preserve">Table 1</w:t>
            </w:r>
          </w:p>
        </w:tc>
      </w:tr>
      <w:tr>
        <w:tc>
          <w:tcPr/>
          <w:p>
            <w:pPr>
              <w:pStyle w:val="Compact"/>
            </w:pPr>
            <w:r>
              <w:t xml:space="preserve">14 (b)</w:t>
            </w:r>
          </w:p>
        </w:tc>
        <w:tc>
          <w:tcPr/>
          <w:p>
            <w:pPr>
              <w:pStyle w:val="Compact"/>
            </w:pPr>
            <w:r>
              <w:t xml:space="preserve">Missing data per variable</w:t>
            </w:r>
          </w:p>
        </w:tc>
        <w:tc>
          <w:tcPr/>
          <w:p>
            <w:pPr>
              <w:pStyle w:val="Compact"/>
            </w:pPr>
            <w:r>
              <w:t xml:space="preserve">§2.5.5 (Tyrving ~20%, HHI ~10%); Supplementary Table S25</w:t>
            </w:r>
          </w:p>
        </w:tc>
      </w:tr>
      <w:tr>
        <w:tc>
          <w:tcPr/>
          <w:p>
            <w:pPr>
              <w:pStyle w:val="Compact"/>
            </w:pPr>
            <w:r>
              <w:t xml:space="preserve">14 (c)</w:t>
            </w:r>
          </w:p>
        </w:tc>
        <w:tc>
          <w:tcPr/>
          <w:p>
            <w:pPr>
              <w:pStyle w:val="Compact"/>
            </w:pPr>
            <w:r>
              <w:t xml:space="preserve">Follow-up time</w:t>
            </w:r>
          </w:p>
        </w:tc>
        <w:tc>
          <w:tcPr/>
          <w:p>
            <w:pPr>
              <w:pStyle w:val="Compact"/>
            </w:pPr>
            <w:r>
              <w:t xml:space="preserve">§2.3 (9–14 years)</w:t>
            </w:r>
          </w:p>
        </w:tc>
      </w:tr>
      <w:tr>
        <w:tc>
          <w:tcPr/>
          <w:p>
            <w:pPr>
              <w:pStyle w:val="Compact"/>
            </w:pPr>
            <w:r>
              <w:t xml:space="preserve">15 Outcome data</w:t>
            </w:r>
          </w:p>
        </w:tc>
        <w:tc>
          <w:tcPr/>
          <w:p>
            <w:pPr>
              <w:pStyle w:val="Compact"/>
            </w:pPr>
            <w:r>
              <w:t xml:space="preserve">Numbers of outcome events over time</w:t>
            </w:r>
          </w:p>
        </w:tc>
        <w:tc>
          <w:tcPr/>
          <w:p>
            <w:pPr>
              <w:pStyle w:val="Compact"/>
            </w:pPr>
            <w:r>
              <w:t xml:space="preserve">§3.1 (retention rates), Table 2, Supplementary Figure S2</w:t>
            </w:r>
          </w:p>
        </w:tc>
      </w:tr>
      <w:tr>
        <w:tc>
          <w:tcPr/>
          <w:p>
            <w:pPr>
              <w:pStyle w:val="Compact"/>
            </w:pPr>
            <w:r>
              <w:t xml:space="preserve">16 Main results (a)</w:t>
            </w:r>
          </w:p>
        </w:tc>
        <w:tc>
          <w:tcPr/>
          <w:p>
            <w:pPr>
              <w:pStyle w:val="Compact"/>
            </w:pPr>
            <w:r>
              <w:t xml:space="preserve">Unadjusted and adjusted estimates with CIs; which confounders adjusted</w:t>
            </w:r>
          </w:p>
        </w:tc>
        <w:tc>
          <w:tcPr/>
          <w:p>
            <w:pPr>
              <w:pStyle w:val="Compact"/>
            </w:pPr>
            <w:r>
              <w:t xml:space="preserve">Table 3 (nested L1–L4), Supplementary Table S13</w:t>
            </w:r>
          </w:p>
        </w:tc>
      </w:tr>
      <w:tr>
        <w:tc>
          <w:tcPr/>
          <w:p>
            <w:pPr>
              <w:pStyle w:val="Compact"/>
            </w:pPr>
            <w:r>
              <w:t xml:space="preserve">16 (b)</w:t>
            </w:r>
          </w:p>
        </w:tc>
        <w:tc>
          <w:tcPr/>
          <w:p>
            <w:pPr>
              <w:pStyle w:val="Compact"/>
            </w:pPr>
            <w:r>
              <w:t xml:space="preserve">Category boundaries for categorized variables</w:t>
            </w:r>
          </w:p>
        </w:tc>
        <w:tc>
          <w:tcPr/>
          <w:p>
            <w:pPr>
              <w:pStyle w:val="Compact"/>
            </w:pPr>
            <w:r>
              <w:t xml:space="preserve">Table 6 (threshold grid)</w:t>
            </w:r>
          </w:p>
        </w:tc>
      </w:tr>
      <w:tr>
        <w:tc>
          <w:tcPr/>
          <w:p>
            <w:pPr>
              <w:pStyle w:val="Compact"/>
            </w:pPr>
            <w:r>
              <w:t xml:space="preserve">16 (c)</w:t>
            </w:r>
          </w:p>
        </w:tc>
        <w:tc>
          <w:tcPr/>
          <w:p>
            <w:pPr>
              <w:pStyle w:val="Compact"/>
            </w:pPr>
            <w:r>
              <w:t xml:space="preserve">Absolute risk translation</w:t>
            </w:r>
          </w:p>
        </w:tc>
        <w:tc>
          <w:tcPr/>
          <w:p>
            <w:pPr>
              <w:pStyle w:val="Compact"/>
            </w:pPr>
            <w:r>
              <w:t xml:space="preserve">§3.8/Table 6 (retention among flagged vs unflagged)</w:t>
            </w:r>
          </w:p>
        </w:tc>
      </w:tr>
      <w:tr>
        <w:tc>
          <w:tcPr/>
          <w:p>
            <w:pPr>
              <w:pStyle w:val="Compact"/>
            </w:pPr>
            <w:r>
              <w:t xml:space="preserve">17 Other analyses</w:t>
            </w:r>
          </w:p>
        </w:tc>
        <w:tc>
          <w:tcPr/>
          <w:p>
            <w:pPr>
              <w:pStyle w:val="Compact"/>
            </w:pPr>
            <w:r>
              <w:t xml:space="preserve">Subgroup, interaction, sensitivity analyses</w:t>
            </w:r>
          </w:p>
        </w:tc>
        <w:tc>
          <w:tcPr/>
          <w:p>
            <w:pPr>
              <w:pStyle w:val="Compact"/>
            </w:pPr>
            <w:r>
              <w:t xml:space="preserve">§3.4–3.10; Supplementary Tables S1–S25</w:t>
            </w:r>
          </w:p>
        </w:tc>
      </w:tr>
      <w:tr>
        <w:tc>
          <w:tcPr/>
          <w:p>
            <w:pPr>
              <w:pStyle w:val="Compact"/>
            </w:pPr>
            <w:r>
              <w:t xml:space="preserve">18 Key results</w:t>
            </w:r>
          </w:p>
        </w:tc>
        <w:tc>
          <w:tcPr/>
          <w:p>
            <w:pPr>
              <w:pStyle w:val="Compact"/>
            </w:pPr>
            <w:r>
              <w:t xml:space="preserve">Summarize with reference to objectives</w:t>
            </w:r>
          </w:p>
        </w:tc>
        <w:tc>
          <w:tcPr/>
          <w:p>
            <w:pPr>
              <w:pStyle w:val="Compact"/>
            </w:pPr>
            <w:r>
              <w:t xml:space="preserve">§4.1</w:t>
            </w:r>
          </w:p>
        </w:tc>
      </w:tr>
      <w:tr>
        <w:tc>
          <w:tcPr/>
          <w:p>
            <w:pPr>
              <w:pStyle w:val="Compact"/>
            </w:pPr>
            <w:r>
              <w:t xml:space="preserve">19 Limitations</w:t>
            </w:r>
          </w:p>
        </w:tc>
        <w:tc>
          <w:tcPr/>
          <w:p>
            <w:pPr>
              <w:pStyle w:val="Compact"/>
            </w:pPr>
            <w:r>
              <w:t xml:space="preserve">Sources of bias, imprecision, direction/magnitude</w:t>
            </w:r>
          </w:p>
        </w:tc>
        <w:tc>
          <w:tcPr/>
          <w:p>
            <w:pPr>
              <w:pStyle w:val="Compact"/>
            </w:pPr>
            <w:r>
              <w:t xml:space="preserve">§4.9 (eight items, including applied limitations)</w:t>
            </w:r>
          </w:p>
        </w:tc>
      </w:tr>
      <w:tr>
        <w:tc>
          <w:tcPr/>
          <w:p>
            <w:pPr>
              <w:pStyle w:val="Compact"/>
            </w:pPr>
            <w:r>
              <w:t xml:space="preserve">20 Interpretation</w:t>
            </w:r>
          </w:p>
        </w:tc>
        <w:tc>
          <w:tcPr/>
          <w:p>
            <w:pPr>
              <w:pStyle w:val="Compact"/>
            </w:pPr>
            <w:r>
              <w:t xml:space="preserve">Cautious overall interpretation</w:t>
            </w:r>
          </w:p>
        </w:tc>
        <w:tc>
          <w:tcPr/>
          <w:p>
            <w:pPr>
              <w:pStyle w:val="Compact"/>
            </w:pPr>
            <w:r>
              <w:t xml:space="preserve">§4.2–4.7, §4.11</w:t>
            </w:r>
          </w:p>
        </w:tc>
      </w:tr>
      <w:tr>
        <w:tc>
          <w:tcPr/>
          <w:p>
            <w:pPr>
              <w:pStyle w:val="Compact"/>
            </w:pPr>
            <w:r>
              <w:t xml:space="preserve">21 Generalisability</w:t>
            </w:r>
          </w:p>
        </w:tc>
        <w:tc>
          <w:tcPr/>
          <w:p>
            <w:pPr>
              <w:pStyle w:val="Compact"/>
            </w:pPr>
            <w:r>
              <w:t xml:space="preserve">External validity</w:t>
            </w:r>
          </w:p>
        </w:tc>
        <w:tc>
          <w:tcPr/>
          <w:p>
            <w:pPr>
              <w:pStyle w:val="Compact"/>
            </w:pPr>
            <w:r>
              <w:t xml:space="preserve">§4.9 (boundary conditions), §2.2 (system description)</w:t>
            </w:r>
          </w:p>
        </w:tc>
      </w:tr>
      <w:tr>
        <w:tc>
          <w:tcPr/>
          <w:p>
            <w:pPr>
              <w:pStyle w:val="Compact"/>
            </w:pPr>
            <w:r>
              <w:t xml:space="preserve">22 Funding</w:t>
            </w:r>
          </w:p>
        </w:tc>
        <w:tc>
          <w:tcPr/>
          <w:p>
            <w:pPr>
              <w:pStyle w:val="Compact"/>
            </w:pPr>
            <w:r>
              <w:t xml:space="preserve">Source of funding and role</w:t>
            </w:r>
          </w:p>
        </w:tc>
        <w:tc>
          <w:tcPr/>
          <w:p>
            <w:pPr>
              <w:pStyle w:val="Compact"/>
            </w:pPr>
            <w:r>
              <w:t xml:space="preserve">Statements and Declarations (Funding statement)</w:t>
            </w:r>
          </w:p>
        </w:tc>
      </w:tr>
    </w:tbl>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2026-09-03T07:47:21Z</dcterms:created>
  <dcterms:modified xsi:type="dcterms:W3CDTF">2026-09-03T07:47:21Z</dcterms:modified>
</cp:coreProperties>
</file>

<file path=docProps/custom.xml><?xml version="1.0" encoding="utf-8"?>
<Properties xmlns="http://schemas.openxmlformats.org/officeDocument/2006/custom-properties" xmlns:vt="http://schemas.openxmlformats.org/officeDocument/2006/docPropsVTypes"/>
</file>