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“Behavioral pathways out of youth competitive sport: A 14-year longitudinal registry study of Norwegian track and field athletes,”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(e.g., Eliasson &amp; Johansson, 2021; Espedalen &amp; Seippel, 2022).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five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Competition volume at age 15–16 — the qualification-milestone window — was the strongest single predictor of subsequent senior retention (Cox C-index 0.85, compared with 0.57 for a performance-and-sex model). Among athletes still demonstrably active at age 16, the same volume signal continued to be associated with subsequent retention (HR = 0.60, 95% CI [0.54, 0.66]) — addressing the concern that predictor and outcome share a measurement scale. Pre-milestone volume at ages 13–14 alone produced HR = 0.50, indicating that the behavioral signal is detectable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milestone window itself.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A note on a-priori power.</w:t>
      </w:r>
      <w:r>
        <w:t xml:space="preserve"> </w:t>
      </w:r>
      <w:r>
        <w:t xml:space="preserve">The journal’s guidance asks for a-priori power estimates</w:t>
      </w:r>
      <w:r>
        <w:t xml:space="preserve"> </w:t>
      </w:r>
      <w:r>
        <w:t xml:space="preserve">“drawing on effects sizes from previous meta-analyses and/or specific papers with designs close to the one authors use.”</w:t>
      </w:r>
      <w:r>
        <w:t xml:space="preserve"> </w:t>
      </w:r>
      <w:r>
        <w:t xml:space="preserve">Because the present design uses the complete population meeting inclusion criteria — with no sampling step at which the analyst chooses 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— a classical a-priori power calculation is not directly applicable. Methods Section 2.5.4 reframes this requirement as a</w:t>
      </w:r>
      <w:r>
        <w:t xml:space="preserve"> </w:t>
      </w:r>
      <w:r>
        <w:rPr>
          <w:i/>
          <w:iCs/>
        </w:rPr>
        <w:t xml:space="preserve">detection-capacity</w:t>
      </w:r>
      <w:r>
        <w:t xml:space="preserve"> </w:t>
      </w:r>
      <w:r>
        <w:t xml:space="preserve">analysis: we compute the minimum detectable hazard ratio given the observed event count (Hsieh &amp; Lavori, 2000), benchmark it against effect-size magnitudes typically reported in prior prospective youth-sport dropout research (Sarrazin et al., 2002; Calvo et al., 2010; Espedalen &amp; Seippel, 2022), and show that the design comfortably exceeds those magnitudes (minimum detectable HR ≈ 1.07 vs. typical OR equivalents of 1.4–2.5 in the prior literature). I hope this reframing satisfies the journal’s underlying intent — that the design be capable of detecting theoretically meaningful effects — even though the exact form of a classical a-priori calculation does not transfer to a complete-population design.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7,100 words plus a 1,400-word reference list, with seven main tables and four figures. Including references the total is approximately 8,500 words — modestly above the journal’s 8,000-word target. I respectfully request consideration of this length on the grounds that the additional words are concentrated in (i) methodological rigor anticipating reviewer concerns (PH testing, time-varying analysis, landmark analysis, E-value, calibration, sensitivity analyses, detection-capacity benchmarking) and (ii) theoretical triangulation that establishes the contribution. Twelve supplementary tables (S1–S12) and two supplementary figures (S1–S2)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2026-05-18T01:56:19Z</dcterms:created>
  <dcterms:modified xsi:type="dcterms:W3CDTF">2026-05-18T01:56:19Z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