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7.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e301dcd7d19d810c27021dbd66be38f11efdc79"/>
    <w:p>
      <w:pPr>
        <w:pStyle w:val="Heading1"/>
      </w:pPr>
      <w:r>
        <w:t xml:space="preserve">Pulling back before pulling out: Behavioral disengagement precedes youth-sport dropout by years in a 14-year register study</w:t>
      </w:r>
    </w:p>
    <w:p>
      <w:pPr>
        <w:pStyle w:val="FirstParagraph"/>
      </w:pPr>
      <w:r>
        <w:rPr>
          <w:b/>
          <w:bCs/>
        </w:rPr>
        <w:t xml:space="preserve">Running title:</w:t>
      </w:r>
      <w:r>
        <w:t xml:space="preserve"> </w:t>
      </w:r>
      <w:r>
        <w:t xml:space="preserve">Behavioral pathways out of youth sport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visibly pull back from competition years before they formally exit. Although qualitative research has long described this gradual disengagement, its longitudinal behavioral signature has been hard to observe directly. We use Norway’s competition register to test whether such a signature predicts senior retention.</w:t>
      </w:r>
    </w:p>
    <w:p>
      <w:pPr>
        <w:pStyle w:val="BodyText"/>
      </w:pPr>
      <w:r>
        <w:rPr>
          <w:b/>
          <w:bCs/>
        </w:rPr>
        <w:t xml:space="preserve">Method.</w:t>
      </w:r>
      <w:r>
        <w:t xml:space="preserve"> </w:t>
      </w:r>
      <w:r>
        <w:t xml:space="preserve">We followed all 2,123 athletes (ages 13–14 at baseline) participating in five consecutive editions of a regional youth track-and-field meet between 2011 and 2016 (birth cohorts 1998–2002). We recorded annual competition counts, event-category diversification, championship participation, and Tyrving age-norm performance points through 2026 — a maximum 14-year follow-up. Senior retention (≥2 registered competitions in any year at age 20 or later) was modelled with Cox proportional hazards and assessed for assumption violations, time-varying effects, unmeasured confounding (E-value), measurement-tautology (landmark analysis at age 16), and outcome-definition sensitivity.</w:t>
      </w:r>
    </w:p>
    <w:p>
      <w:pPr>
        <w:pStyle w:val="BodyText"/>
      </w:pPr>
      <w:r>
        <w:rPr>
          <w:b/>
          <w:bCs/>
        </w:rPr>
        <w:t xml:space="preserve">Results.</w:t>
      </w:r>
      <w:r>
        <w:t xml:space="preserve"> </w:t>
      </w:r>
      <w:r>
        <w:t xml:space="preserve">Among athletes still active at age 16, competition volume at age 15–16 remained the strongest single predictor of subsequent senior retention (HR = 0.60 per SD, 95% CI [0.54, 0.66], C-index = 0.74). The signal was already detectable using only pre-milestone (age 13–14) volume (HR = 0.50), indicating that behavioral disengagement precedes the qualification window itself. Findings replicated across two independent birth cohorts and were robust to outcome definition, missing data, club clustering, and an unmeasured-confounder E-value of 5.16.</w:t>
      </w:r>
    </w:p>
    <w:p>
      <w:pPr>
        <w:pStyle w:val="BodyText"/>
      </w:pPr>
      <w:r>
        <w:rPr>
          <w:b/>
          <w:bCs/>
        </w:rPr>
        <w:t xml:space="preserve">Conclusions.</w:t>
      </w:r>
      <w:r>
        <w:t xml:space="preserve"> </w:t>
      </w:r>
      <w:r>
        <w:t xml:space="preserve">Registered competition behavior tracks the temporal unfolding of competitive disengagement years before formal exit, and may complement survey research as a registry-based marker for retention interventions.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behaviour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behaviour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behavioural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behavioural trajectories of future retainers and future dropouts should</w:t>
      </w:r>
      <w:r>
        <w:t xml:space="preserve"> </w:t>
      </w:r>
      <w:r>
        <w:rPr>
          <w:i/>
          <w:iCs/>
        </w:rPr>
        <w:t xml:space="preserve">diverge before</w:t>
      </w:r>
      <w:r>
        <w:t xml:space="preserve"> </w:t>
      </w:r>
      <w:r>
        <w:t xml:space="preserve">formal exit (dropout-as-process). Second,</w:t>
      </w:r>
      <w:r>
        <w:t xml:space="preserve"> </w:t>
      </w:r>
      <w:r>
        <w:rPr>
          <w:i/>
          <w:iCs/>
        </w:rPr>
        <w:t xml:space="preserve">behavioural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behaviour not as a direct measure of motivation but as an observable behavioural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the five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programme while changing sponsor name). Each edition admitted athletes aged 13–14 in the year of the meet. Athletes were free to enter as 13-year-olds, as 14-year-olds, or both; participation was not contingent on selection or qualifying performance.</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was</w:t>
      </w:r>
      <w:r>
        <w:t xml:space="preserve"> </w:t>
      </w:r>
      <w:r>
        <w:rPr>
          <w:b/>
          <w:bCs/>
        </w:rPr>
        <w:t xml:space="preserve">active senior status</w:t>
      </w:r>
      <w:r>
        <w:t xml:space="preserve">: a binary 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analyses using two alternative outcome definitions: (A) ≥1 senior-age result and (C) ≥2 results in each of two distinct senior-age calendar years (Supplementary Table S9).</w:t>
      </w:r>
    </w:p>
    <w:p>
      <w:pPr>
        <w:pStyle w:val="BodyText"/>
      </w:pPr>
      <w:r>
        <w:t xml:space="preserve">For survival analyses, we used time from baseline to the athlete’s last</w:t>
      </w:r>
      <w:r>
        <w:t xml:space="preserve"> </w:t>
      </w:r>
      <w:r>
        <w:rPr>
          <w:i/>
          <w:iCs/>
        </w:rPr>
        <w:t xml:space="preserve">active season</w:t>
      </w:r>
      <w:r>
        <w:t xml:space="preserve"> </w:t>
      </w:r>
      <w:r>
        <w:t xml:space="preserve">(a calendar year with ≥2 registered results) as duration, with athletes still active in 2024 or later treated as right-censored.</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helaars_age_X</w:t>
      </w:r>
      <w:r>
        <w:t xml:space="preserve"> </w:t>
      </w:r>
      <w:r>
        <w:t xml:space="preserve">= 1 if the athlete competed in both an outdoor and an indoor meet in that age year, else 0). We derived composite indicators:</w:t>
      </w:r>
      <w:r>
        <w:t xml:space="preserve"> </w:t>
      </w:r>
      <w:r>
        <w:rPr>
          <w:b/>
          <w:bCs/>
        </w:rPr>
        <w:t xml:space="preserve">vol_pre_milepael</w:t>
      </w:r>
      <w:r>
        <w:t xml:space="preserve"> </w:t>
      </w:r>
      <w:r>
        <w:t xml:space="preserve">(sum of meets at ages 13–14, the pre-qualification window),</w:t>
      </w:r>
      <w:r>
        <w:t xml:space="preserve"> </w:t>
      </w:r>
      <w:r>
        <w:rPr>
          <w:b/>
          <w:bCs/>
        </w:rPr>
        <w:t xml:space="preserve">vol_milepael</w:t>
      </w:r>
      <w:r>
        <w:t xml:space="preserve"> </w:t>
      </w:r>
      <w:r>
        <w:t xml:space="preserve">(sum of meets at ages 15–16, the qualification-milestone window), and</w:t>
      </w:r>
      <w:r>
        <w:t xml:space="preserve"> </w:t>
      </w:r>
      <w:r>
        <w:rPr>
          <w:b/>
          <w:bCs/>
        </w:rPr>
        <w:t xml:space="preserve">vol_trend_milepael</w:t>
      </w:r>
      <w:r>
        <w:t xml:space="preserve"> </w:t>
      </w:r>
      <w:r>
        <w:t xml:space="preserve">(vol_milepael − vol_pre_milepael). We also computed</w:t>
      </w:r>
      <w:r>
        <w:t xml:space="preserve"> </w:t>
      </w:r>
      <w:r>
        <w:rPr>
          <w:b/>
          <w:bCs/>
        </w:rPr>
        <w:t xml:space="preserve">n_msk_typer</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survival-analysis"/>
    <w:p>
      <w:pPr>
        <w:pStyle w:val="Heading3"/>
      </w:pPr>
      <w:r>
        <w:t xml:space="preserve">2.5.1 Survival analysis</w:t>
      </w:r>
    </w:p>
    <w:p>
      <w:pPr>
        <w:pStyle w:val="FirstParagraph"/>
      </w:pPr>
      <w:r>
        <w:t xml:space="preserve">We modelled time from baseline to last active season using Cox (1972) proportional hazards regression, with hazard function</w:t>
      </w:r>
      <w:r>
        <w:t xml:space="preserve"> </w:t>
      </w:r>
      <m:oMath>
        <m:r>
          <m:t>h</m:t>
        </m:r>
        <m:r>
          <m:rPr>
            <m:sty m:val="p"/>
          </m:rPr>
          <m:t>(</m:t>
        </m:r>
        <m:r>
          <m:t>t</m:t>
        </m:r>
        <m:r>
          <m:rPr>
            <m:sty m:val="p"/>
          </m:rPr>
          <m:t>∣</m:t>
        </m:r>
        <m:r>
          <m:rPr>
            <m:sty m:val="b"/>
          </m:rPr>
          <m:t>x</m:t>
        </m:r>
        <m:r>
          <m:rPr>
            <m:sty m:val="p"/>
          </m:rPr>
          <m:t>)</m:t>
        </m:r>
        <m:r>
          <m:rPr>
            <m:sty m:val="p"/>
          </m:rPr>
          <m:t>=</m:t>
        </m:r>
        <m:sSub>
          <m:e>
            <m:r>
              <m:t>h</m:t>
            </m:r>
          </m:e>
          <m:sub>
            <m:r>
              <m:t>0</m:t>
            </m:r>
          </m:sub>
        </m:sSub>
        <m:r>
          <m:rPr>
            <m:sty m:val="p"/>
          </m:rPr>
          <m:t>(</m:t>
        </m:r>
        <m:r>
          <m:t>t</m:t>
        </m:r>
        <m:r>
          <m:rPr>
            <m:sty m:val="p"/>
          </m:rPr>
          <m:t>)</m:t>
        </m:r>
        <m:r>
          <m:rPr>
            <m:sty m:val="p"/>
          </m:rPr>
          <m:t>exp</m:t>
        </m:r>
        <m:r>
          <m:rPr>
            <m:sty m:val="p"/>
          </m:rPr>
          <m:t>(</m:t>
        </m:r>
        <m:sSup>
          <m:e>
            <m:r>
              <m:rPr>
                <m:sty m:val="b"/>
              </m:rPr>
              <m:t>β</m:t>
            </m:r>
          </m:e>
          <m:sup>
            <m:r>
              <m:rPr>
                <m:sty m:val="p"/>
              </m:rPr>
              <m:t>⊤</m:t>
            </m:r>
          </m:sup>
        </m:sSup>
        <m:r>
          <m:rPr>
            <m:sty m:val="b"/>
          </m:rPr>
          <m:t>x</m:t>
        </m:r>
        <m:r>
          <m:rPr>
            <m:sty m:val="p"/>
          </m:rPr>
          <m:t>)</m:t>
        </m:r>
      </m:oMath>
      <w:r>
        <w:t xml:space="preserve">, where</w:t>
      </w:r>
      <w:r>
        <w:t xml:space="preserve"> </w:t>
      </w:r>
      <m:oMath>
        <m:r>
          <m:t>h</m:t>
        </m:r>
        <m:r>
          <m:rPr>
            <m:sty m:val="p"/>
          </m:rPr>
          <m:t>(</m:t>
        </m:r>
        <m:r>
          <m:t>t</m:t>
        </m:r>
        <m:r>
          <m:rPr>
            <m:sty m:val="p"/>
          </m:rPr>
          <m:t>∣</m:t>
        </m:r>
        <m:r>
          <m:rPr>
            <m:sty m:val="b"/>
          </m:rPr>
          <m:t>x</m:t>
        </m:r>
        <m:r>
          <m:rPr>
            <m:sty m:val="p"/>
          </m:rPr>
          <m:t>)</m:t>
        </m:r>
      </m:oMath>
      <w:r>
        <w:t xml:space="preserve"> </w:t>
      </w:r>
      <w:r>
        <w:t xml:space="preserve">is the dropout hazard at follow-up time</w:t>
      </w:r>
      <w:r>
        <w:t xml:space="preserve"> </w:t>
      </w:r>
      <m:oMath>
        <m:r>
          <m:t>t</m:t>
        </m:r>
      </m:oMath>
      <w:r>
        <w:t xml:space="preserve"> </w:t>
      </w:r>
      <w:r>
        <w:t xml:space="preserve">for an athlete with covariate vector</w:t>
      </w:r>
      <w:r>
        <w:t xml:space="preserve"> </w:t>
      </w:r>
      <m:oMath>
        <m:r>
          <m:rPr>
            <m:sty m:val="b"/>
          </m:rPr>
          <m:t>x</m:t>
        </m:r>
      </m:oMath>
      <w:r>
        <w:t xml:space="preserve">,</w:t>
      </w:r>
      <w:r>
        <w:t xml:space="preserve"> </w:t>
      </w:r>
      <m:oMath>
        <m:sSub>
          <m:e>
            <m:r>
              <m:t>h</m:t>
            </m:r>
          </m:e>
          <m:sub>
            <m:r>
              <m:t>0</m:t>
            </m:r>
          </m:sub>
        </m:sSub>
        <m:r>
          <m:rPr>
            <m:sty m:val="p"/>
          </m:rPr>
          <m:t>(</m:t>
        </m:r>
        <m:r>
          <m:t>t</m:t>
        </m:r>
        <m:r>
          <m:rPr>
            <m:sty m:val="p"/>
          </m:rPr>
          <m:t>)</m:t>
        </m:r>
      </m:oMath>
      <w:r>
        <w:t xml:space="preserve"> </w:t>
      </w:r>
      <w:r>
        <w:t xml:space="preserve">is the unspecified baseline hazard, and</w:t>
      </w:r>
      <w:r>
        <w:t xml:space="preserve"> </w:t>
      </w:r>
      <m:oMath>
        <m:r>
          <m:rPr>
            <m:sty m:val="b"/>
          </m:rPr>
          <m:t>β</m:t>
        </m:r>
      </m:oMath>
      <w:r>
        <w:t xml:space="preserve"> </w:t>
      </w:r>
      <w:r>
        <w:t xml:space="preserve">is the vector of regression coefficients. Ties were handled with Efron’s (1977) method, the lifelines default (Davidson-Pilon, 2024).</w:t>
      </w:r>
    </w:p>
    <w:p>
      <w:pPr>
        <w:pStyle w:val="BodyText"/>
      </w:pPr>
      <w:r>
        <w:t xml:space="preserve">Models were fitted in a stepwise sequence to characterize the unique contribution of each variable class: M1 (sex only), M2 (+ performance), M3 (+ specialization), M4 (+ competition volume at milestone), and M5 (+ championship types). The entry order was theoretically driven: starting from the variable most commonly emphasized in prior literature (sex) and ending with the class motivated by our hypothesis (behavioral engagement at the milestone). We did not perform data-driven variable selection, because all candidate predictors were theoretically motivated. Concordance indices (C-index; Harrell et al., 1996) gauged the discriminative gain at each step. Continuous covariates were standardized (z-scored) so that hazard ratios reflect per-SD effects. Throughout, hazard ratios are reported as</w:t>
      </w:r>
      <w:r>
        <w:t xml:space="preserve"> </w:t>
      </w:r>
      <w:r>
        <w:rPr>
          <w:i/>
          <w:iCs/>
        </w:rPr>
        <w:t xml:space="preserve">descriptive associations within the observed register structure</w:t>
      </w:r>
      <w:r>
        <w:t xml:space="preserve"> </w:t>
      </w:r>
      <w:r>
        <w:t xml:space="preserve">and should not be interpreted causally; register-based competition behavior reflects both individual choice and contextual factors (selection, injury, family circumstances, parallel sport involvement) that are not observed.</w:t>
      </w:r>
    </w:p>
    <w:p>
      <w:pPr>
        <w:pStyle w:val="BodyText"/>
      </w:pPr>
      <w:r>
        <w:t xml:space="preserve">Kaplan–Meier curves were stratified by sex, by total competition volume at age 15–16 (categorized into 0, 1–5, 6–15, 16–30, or 31+ meets), and by number of championship types entered before age 17.</w:t>
      </w:r>
    </w:p>
    <w:bookmarkEnd w:id="24"/>
    <w:bookmarkStart w:id="25" w:name="Xe038593bbb4e87d9c999498e1bc009bee333961"/>
    <w:p>
      <w:pPr>
        <w:pStyle w:val="Heading3"/>
      </w:pPr>
      <w:r>
        <w:t xml:space="preserve">2.5.2 Addressing potential measurement-tautology: landmark analysis</w:t>
      </w:r>
    </w:p>
    <w:p>
      <w:pPr>
        <w:pStyle w:val="FirstParagraph"/>
      </w:pPr>
      <w:r>
        <w:t xml:space="preserve">Because senior retention is itself defined by registered competitive activity, and the strongest candidate predictor (competition volume at age 15–16) is also a measure of registered competitive activity, the two measurements are operationally related. Specifically, an athlete who has already withdrawn from competition before age 15 has vol_milepael = 0 by construction</w:t>
      </w:r>
      <w:r>
        <w:t xml:space="preserve"> </w:t>
      </w:r>
      <w:r>
        <w:rPr>
          <w:i/>
          <w:iCs/>
        </w:rPr>
        <w:t xml:space="preserve">and</w:t>
      </w:r>
      <w:r>
        <w:t xml:space="preserve"> </w:t>
      </w:r>
      <w:r>
        <w:t xml:space="preserve">will not meet the senior-retention criterion. Without explicit treatment, the apparent predictive power of milestone volume could partly reflect this mechanical relationship.</w:t>
      </w:r>
    </w:p>
    <w:p>
      <w:pPr>
        <w:pStyle w:val="BodyText"/>
      </w:pPr>
      <w:r>
        <w:t xml:space="preserve">To address this concern, we conducted a</w:t>
      </w:r>
      <w:r>
        <w:t xml:space="preserve"> </w:t>
      </w:r>
      <w:r>
        <w:rPr>
          <w:b/>
          <w:bCs/>
        </w:rPr>
        <w:t xml:space="preserve">landmark analysis</w:t>
      </w:r>
      <w:r>
        <w:t xml:space="preserve"> </w:t>
      </w:r>
      <w:r>
        <w:t xml:space="preserve">(van Houwelingen, 2007): we restricted the analysis to athletes who were still demonstrably active at age 16 (defined as having ≥1 registered result at age 16) and re-estimated the full Cox model with follow-up time measured from age 16 rather than from baseline. This analysis tests whether milestone-window volume continues to predict subsequent retention</w:t>
      </w:r>
      <w:r>
        <w:t xml:space="preserve"> </w:t>
      </w:r>
      <w:r>
        <w:rPr>
          <w:i/>
          <w:iCs/>
        </w:rPr>
        <w:t xml:space="preserve">among athletes who have not yet dropped out</w:t>
      </w:r>
      <w:r>
        <w:t xml:space="preserve">. We additionally re-estimated the full Cox model excluding athletes with vol_milepael = 0 (Supplementary Table S12), and fitted a</w:t>
      </w:r>
      <w:r>
        <w:t xml:space="preserve"> </w:t>
      </w:r>
      <w:r>
        <w:rPr>
          <w:i/>
          <w:iCs/>
        </w:rPr>
        <w:t xml:space="preserve">lagged-volume</w:t>
      </w:r>
      <w:r>
        <w:t xml:space="preserve"> </w:t>
      </w:r>
      <w:r>
        <w:t xml:space="preserve">model in which the only behavioral predictor was vol_pre_milepael (ages 13–14), testing whether the signal exists before the milestone window itself (Supplementary Table S10).</w:t>
      </w:r>
    </w:p>
    <w:bookmarkEnd w:id="25"/>
    <w:bookmarkStart w:id="26" w:name="Xc4af58c3bdca806ec4d61dabf5626a0ee4f823a"/>
    <w:p>
      <w:pPr>
        <w:pStyle w:val="Heading3"/>
      </w:pPr>
      <w:r>
        <w:t xml:space="preserve">2.5.3 Proportional-hazards assumption and time-varying effects</w:t>
      </w:r>
    </w:p>
    <w:p>
      <w:pPr>
        <w:pStyle w:val="FirstParagraph"/>
      </w:pPr>
      <w:r>
        <w:t xml:space="preserve">We assessed the proportional-hazards assumption using Schoenfeld residuals (Grambsch &amp; Therneau, 1994). Where the assumption was violated, we re-estimated the model stratified on the violating variable (Therneau &amp; Grambsch, 2000) to confirm that remaining effects were robust. To characterize the time-varying nature of the dominant predictor, we fitted period-specific Cox models in three follow-up windows (years 0–3, 3–6, and 6+ post-baseline), reporting HR with 95% confidence intervals separately for each window.</w:t>
      </w:r>
    </w:p>
    <w:bookmarkEnd w:id="26"/>
    <w:bookmarkStart w:id="27" w:name="sample-size-and-detection-capacity"/>
    <w:p>
      <w:pPr>
        <w:pStyle w:val="Heading3"/>
      </w:pPr>
      <w:r>
        <w:t xml:space="preserve">2.5.4 Sample size and detection capacity</w:t>
      </w:r>
    </w:p>
    <w:p>
      <w:pPr>
        <w:pStyle w:val="FirstParagraph"/>
      </w:pPr>
      <w:r>
        <w:t xml:space="preserve">Although a-priori power calculations are standard in experimental designs, they are less directly applicable to population-based register studies where the full cohort meeting inclusion criteria is observed and there is no sampling step at which the analyst chooses an</w:t>
      </w:r>
      <w:r>
        <w:t xml:space="preserve"> </w:t>
      </w:r>
      <w:r>
        <w:rPr>
          <w:i/>
          <w:iCs/>
        </w:rPr>
        <w:t xml:space="preserve">N</w:t>
      </w:r>
      <w:r>
        <w:t xml:space="preserve">. We therefore replace the standard a-priori power calculation with a</w:t>
      </w:r>
      <w:r>
        <w:t xml:space="preserve"> </w:t>
      </w:r>
      <w:r>
        <w:rPr>
          <w:i/>
          <w:iCs/>
        </w:rPr>
        <w:t xml:space="preserve">detection-capacity</w:t>
      </w:r>
      <w:r>
        <w:t xml:space="preserve"> </w:t>
      </w:r>
      <w:r>
        <w:t xml:space="preserve">analysis: given the observed event count, what is the smallest effect size that the design could reliably detect, and how does this compare to effect sizes reported in prior longitudinal dropout research?</w:t>
      </w:r>
    </w:p>
    <w:p>
      <w:pPr>
        <w:pStyle w:val="BodyText"/>
      </w:pPr>
      <w:r>
        <w:t xml:space="preserve">We computed the minimum detectable hazard ratio using Hsieh and Lavori’s (2000) formula</w:t>
      </w:r>
      <w:r>
        <w:t xml:space="preserve"> </w:t>
      </w:r>
      <m:oMath>
        <m:r>
          <m:rPr>
            <m:sty m:val="p"/>
          </m:rPr>
          <m:t>|</m:t>
        </m:r>
        <m:r>
          <m:rPr>
            <m:sty m:val="p"/>
          </m:rPr>
          <m:t>log</m:t>
        </m:r>
        <m:r>
          <m:t>H</m:t>
        </m:r>
        <m:sSub>
          <m:e>
            <m:r>
              <m:t>R</m:t>
            </m:r>
          </m:e>
          <m:sub>
            <m:r>
              <m:rPr>
                <m:sty m:val="p"/>
              </m:rPr>
              <m:t>min</m:t>
            </m:r>
          </m:sub>
        </m:sSub>
        <m:r>
          <m:rPr>
            <m:sty m:val="p"/>
          </m:rPr>
          <m:t>|</m:t>
        </m:r>
        <m:r>
          <m:rPr>
            <m:sty m:val="p"/>
          </m:rPr>
          <m:t>=</m:t>
        </m:r>
        <m:r>
          <m:rPr>
            <m:sty m:val="p"/>
          </m:rPr>
          <m:t>(</m:t>
        </m:r>
        <m:sSub>
          <m:e>
            <m:r>
              <m:t>z</m:t>
            </m:r>
          </m:e>
          <m:sub>
            <m:r>
              <m:t>1</m:t>
            </m:r>
            <m:r>
              <m:rPr>
                <m:sty m:val="p"/>
              </m:rPr>
              <m:t>−</m:t>
            </m:r>
            <m:r>
              <m:t>α</m:t>
            </m:r>
            <m:r>
              <m:rPr>
                <m:sty m:val="p"/>
              </m:rPr>
              <m:t>/</m:t>
            </m:r>
            <m:r>
              <m:t>2</m:t>
            </m:r>
          </m:sub>
        </m:sSub>
        <m:r>
          <m:rPr>
            <m:sty m:val="p"/>
          </m:rPr>
          <m:t>+</m:t>
        </m:r>
        <m:sSub>
          <m:e>
            <m:r>
              <m:t>z</m:t>
            </m:r>
          </m:e>
          <m:sub>
            <m:r>
              <m:t>1</m:t>
            </m:r>
            <m:r>
              <m:rPr>
                <m:sty m:val="p"/>
              </m:rPr>
              <m:t>−</m:t>
            </m:r>
            <m:r>
              <m:t>β</m:t>
            </m:r>
          </m:sub>
        </m:sSub>
        <m:r>
          <m:rPr>
            <m:sty m:val="p"/>
          </m:rPr>
          <m:t>)</m:t>
        </m:r>
        <m:r>
          <m:rPr>
            <m:sty m:val="p"/>
          </m:rPr>
          <m:t>/</m:t>
        </m:r>
        <m:r>
          <m:rPr>
            <m:sty m:val="p"/>
          </m:rPr>
          <m:t>(</m:t>
        </m:r>
        <m:r>
          <m:t>σ</m:t>
        </m:r>
        <m:rad>
          <m:radPr>
            <m:degHide m:val="on"/>
          </m:radPr>
          <m:deg/>
          <m:e>
            <m:r>
              <m:t>d</m:t>
            </m:r>
          </m:e>
        </m:rad>
        <m:r>
          <m:rPr>
            <m:sty m:val="p"/>
          </m:rPr>
          <m:t>)</m:t>
        </m:r>
      </m:oMath>
      <w:r>
        <w:t xml:space="preserve">, where</w:t>
      </w:r>
      <w:r>
        <w:t xml:space="preserve"> </w:t>
      </w:r>
      <m:oMath>
        <m:r>
          <m:t>d</m:t>
        </m:r>
      </m:oMath>
      <w:r>
        <w:t xml:space="preserve"> </w:t>
      </w:r>
      <w:r>
        <w:t xml:space="preserve">is event count and</w:t>
      </w:r>
      <w:r>
        <w:t xml:space="preserve"> </w:t>
      </w:r>
      <m:oMath>
        <m:r>
          <m:t>σ</m:t>
        </m:r>
      </m:oMath>
      <w:r>
        <w:t xml:space="preserve"> </w:t>
      </w:r>
      <w:r>
        <w:t xml:space="preserve">is the SD of the standardized covariate (= 1 for z-scored covariates). With</w:t>
      </w:r>
      <w:r>
        <w:t xml:space="preserve"> </w:t>
      </w:r>
      <m:oMath>
        <m:r>
          <m:t>d</m:t>
        </m:r>
        <m:r>
          <m:rPr>
            <m:sty m:val="p"/>
          </m:rPr>
          <m:t>=</m:t>
        </m:r>
        <m:r>
          <m:t>1</m:t>
        </m:r>
        <m:r>
          <m:rPr>
            <m:sty m:val="p"/>
          </m:rPr>
          <m:t>,</m:t>
        </m:r>
        <m:r>
          <m:t>570</m:t>
        </m:r>
      </m:oMath>
      <w:r>
        <w:t xml:space="preserve"> </w:t>
      </w:r>
      <w:r>
        <w:t xml:space="preserve">events,</w:t>
      </w:r>
      <w:r>
        <w:t xml:space="preserve"> </w:t>
      </w:r>
      <m:oMath>
        <m:r>
          <m:t>α</m:t>
        </m:r>
        <m:r>
          <m:rPr>
            <m:sty m:val="p"/>
          </m:rPr>
          <m:t>=</m:t>
        </m:r>
        <m:r>
          <m:t>.05</m:t>
        </m:r>
      </m:oMath>
      <w:r>
        <w:t xml:space="preserve">, and 80% power,</w:t>
      </w:r>
      <w:r>
        <w:t xml:space="preserve"> </w:t>
      </w:r>
      <m:oMath>
        <m:r>
          <m:t>H</m:t>
        </m:r>
        <m:sSub>
          <m:e>
            <m:r>
              <m:t>R</m:t>
            </m:r>
          </m:e>
          <m:sub>
            <m:r>
              <m:rPr>
                <m:sty m:val="p"/>
              </m:rPr>
              <m:t>min</m:t>
            </m:r>
          </m:sub>
        </m:sSub>
        <m:r>
          <m:rPr>
            <m:sty m:val="p"/>
          </m:rPr>
          <m:t>≈</m:t>
        </m:r>
        <m:r>
          <m:t>1.07</m:t>
        </m:r>
      </m:oMath>
      <w:r>
        <w:t xml:space="preserve"> </w:t>
      </w:r>
      <w:r>
        <w:t xml:space="preserve">per SD — i.e., effects with</w:t>
      </w:r>
      <w:r>
        <w:t xml:space="preserve"> </w:t>
      </w:r>
      <m:oMath>
        <m:r>
          <m:t>H</m:t>
        </m:r>
        <m:r>
          <m:t>R</m:t>
        </m:r>
        <m:r>
          <m:rPr>
            <m:sty m:val="p"/>
          </m:rPr>
          <m:t>&lt;</m:t>
        </m:r>
        <m:r>
          <m:t>0.93</m:t>
        </m:r>
      </m:oMath>
      <w:r>
        <w:t xml:space="preserve"> </w:t>
      </w:r>
      <w:r>
        <w:t xml:space="preserve">or</w:t>
      </w:r>
      <w:r>
        <w:t xml:space="preserve"> </w:t>
      </w:r>
      <m:oMath>
        <m:r>
          <m:rPr>
            <m:sty m:val="p"/>
          </m:rPr>
          <m:t>&gt;</m:t>
        </m:r>
        <m:r>
          <m:t>1.07</m:t>
        </m:r>
      </m:oMath>
      <w:r>
        <w:t xml:space="preserve"> </w:t>
      </w:r>
      <w:r>
        <w:t xml:space="preserve">are detectable.</w:t>
      </w:r>
    </w:p>
    <w:p>
      <w:pPr>
        <w:pStyle w:val="BodyText"/>
      </w:pPr>
      <w:r>
        <w:t xml:space="preserve">Effect sizes in prior prospective youth-sport dropout research are typically</w:t>
      </w:r>
      <w:r>
        <w:t xml:space="preserve"> </w:t>
      </w:r>
      <w:r>
        <w:rPr>
          <w:i/>
          <w:iCs/>
        </w:rPr>
        <w:t xml:space="preserve">small-to-moderate</w:t>
      </w:r>
      <w:r>
        <w:t xml:space="preserve">: motivational and engagement-based predictors in 12–24-month prospective designs (Sarrazin et al., 2002; Calvo et al., 2010) and in survey-based studies of dropout reasons (Espedalen &amp; Seippel, 2022) generally correspond to standardized effect-size estimates in the small-to-moderate range (Cohen’s</w:t>
      </w:r>
      <w:r>
        <w:t xml:space="preserve"> </w:t>
      </w:r>
      <w:r>
        <w:rPr>
          <w:i/>
          <w:iCs/>
        </w:rPr>
        <w:t xml:space="preserve">d</w:t>
      </w:r>
      <w:r>
        <w:t xml:space="preserve"> </w:t>
      </w:r>
      <w:r>
        <w:t xml:space="preserve">≈ 0.2–0.5; comparable odds ratios ≈ 1.4–2.5). The detection capacity of the present design (minimum detectable HR ≈ 1.07) is therefore well below the effect magnitudes typically reported in this literature; null findings reported here (e.g., the unadjusted sex coefficient in M1, or HHI in M3) should be interpreted as substantively small rather than as underpowered.</w:t>
      </w:r>
    </w:p>
    <w:bookmarkEnd w:id="27"/>
    <w:bookmarkStart w:id="28" w:name="missing-data-and-clustering"/>
    <w:p>
      <w:pPr>
        <w:pStyle w:val="Heading3"/>
      </w:pPr>
      <w:r>
        <w:t xml:space="preserve">2.5.5 Missing data and clustering</w:t>
      </w:r>
    </w:p>
    <w:p>
      <w:pPr>
        <w:pStyle w:val="FirstParagraph"/>
      </w:pPr>
      <w:r>
        <w:t xml:space="preserve">Missing values arose primarily for the Tyrving score (athletes whose only baseline results were in events without an official Tyrving reference, ~20% missing) and for HHI (athletes with fewer than 3 active seasons, ~10%). Our primary analyses used complete-case Cox regression (n = 1,704 for the full model). To assess sensitivity, we re-estimated the full Cox model substituting variable means for missing continuous covariates; estimates were near-identical to the complete-case results (Supplementary Table S5). Because athletes are nested within clubs and might share unobserved club-level characteristics, we additionally re-estimated the model with cluster-robust standard errors clustered on club name (Lin &amp; Wei, 1989); coefficients were unchanged and 95% CIs only marginally wider (Supplementary Table S2).</w:t>
      </w:r>
    </w:p>
    <w:bookmarkEnd w:id="28"/>
    <w:bookmarkStart w:id="29" w:name="Xb6dc6c4b8eba53ebf0271934878de5635fd54f9"/>
    <w:p>
      <w:pPr>
        <w:pStyle w:val="Heading3"/>
      </w:pPr>
      <w:r>
        <w:t xml:space="preserve">2.5.6 Sensitivity to unmeasured confounding and cross-cohort replication</w:t>
      </w:r>
    </w:p>
    <w:p>
      <w:pPr>
        <w:pStyle w:val="FirstParagraph"/>
      </w:pPr>
      <w:r>
        <w:t xml:space="preserve">For the dominant covariate (vol_milepael) and for the championship-types count, we computed the</w:t>
      </w:r>
      <w:r>
        <w:t xml:space="preserve"> </w:t>
      </w:r>
      <w:r>
        <w:rPr>
          <w:b/>
          <w:bCs/>
        </w:rPr>
        <w:t xml:space="preserve">E-value</w:t>
      </w:r>
      <w:r>
        <w:t xml:space="preserve"> </w:t>
      </w:r>
      <w:r>
        <w:t xml:space="preserve">(VanderWeele &amp; Ding, 2017), which quantifies the minimum strength of association on the risk-ratio scale that an unmeasured confounder would need to have with both the exposure and the outcome to explain away the observed effect entirely. To assess</w:t>
      </w:r>
      <w:r>
        <w:t xml:space="preserve"> </w:t>
      </w:r>
      <w:r>
        <w:rPr>
          <w:b/>
          <w:bCs/>
        </w:rPr>
        <w:t xml:space="preserve">cross-cohort replication</w:t>
      </w:r>
      <w:r>
        <w:t xml:space="preserve">, we re-estimated the full Cox model separately within Cohort A (1998–2000) and Cohort B (2001–2002). We additionally fitted subgroup Cox models within each sex stratum.</w:t>
      </w:r>
    </w:p>
    <w:bookmarkEnd w:id="29"/>
    <w:bookmarkStart w:id="30" w:name="Xf784fa1bcf830264c02d37e7fe58964360d3af9"/>
    <w:p>
      <w:pPr>
        <w:pStyle w:val="Heading3"/>
      </w:pPr>
      <w:r>
        <w:t xml:space="preserve">2.5.7 Calibration and practical early-warning thresholds</w:t>
      </w:r>
    </w:p>
    <w:p>
      <w:pPr>
        <w:pStyle w:val="FirstParagraph"/>
      </w:pPr>
      <w:r>
        <w:t xml:space="preserve">To inform the practical claim that competition volume can serve as an early-warning indicator, we computed calibration metrics — sensitivity, specificity, positive predictive value (PPV), and negative predictive value (NPV) — at five candidate thresholds for</w:t>
      </w:r>
      <w:r>
        <w:t xml:space="preserve"> </w:t>
      </w:r>
      <w:r>
        <w:t xml:space="preserve">“flagging”</w:t>
      </w:r>
      <w:r>
        <w:t xml:space="preserve"> </w:t>
      </w:r>
      <w:r>
        <w:t xml:space="preserve">an athlete as high-risk (vol_milepael &lt; 1, 5, 10, 15, or 20 meets across ages 15–16). We additionally produced a decile-based calibration plot comparing observed to predicted retention probabilities (Supplementary Figure S1).</w:t>
      </w:r>
    </w:p>
    <w:bookmarkEnd w:id="30"/>
    <w:bookmarkStart w:id="31" w:name="variable-importance-supplementary"/>
    <w:p>
      <w:pPr>
        <w:pStyle w:val="Heading3"/>
      </w:pPr>
      <w:r>
        <w:t xml:space="preserve">2.5.8 Variable importance (supplementary)</w:t>
      </w:r>
    </w:p>
    <w:p>
      <w:pPr>
        <w:pStyle w:val="FirstParagraph"/>
      </w:pPr>
      <w:r>
        <w:t xml:space="preserve">For non-parametric variable importance, we fit a random forest (Breiman, 2001) with 500 trees and maximum depth 8 to predict active senior status, with class weighting to handle outcome imbalance (16% senior retainers). Variable importance is reported as the mean decrease in Gini impurity. Cross-validated AUCs (5-fold stratified) compared nested subsets of predictors. We treat the random forest as convergent evidence for the Cox findings rather than as an independent main analysis.</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we report all primary analyses stratified by sex.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bookmarkEnd w:id="37"/>
    <w:bookmarkStart w:id="38"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t xml:space="preserve">666</w:t>
            </w:r>
          </w:p>
        </w:tc>
        <w:tc>
          <w:tcPr/>
          <w:p>
            <w:pPr>
              <w:pStyle w:val="Compact"/>
            </w:pPr>
            <w:r>
              <w:t xml:space="preserve">666</w:t>
            </w:r>
          </w:p>
        </w:tc>
        <w:tc>
          <w:tcPr/>
          <w:p>
            <w:pPr>
              <w:pStyle w:val="Compact"/>
            </w:pPr>
            <w:r>
              <w:t xml:space="preserve">666</w:t>
            </w:r>
          </w:p>
        </w:tc>
      </w:tr>
      <w:tr>
        <w:tc>
          <w:tcPr/>
          <w:p>
            <w:pPr>
              <w:pStyle w:val="Compact"/>
            </w:pPr>
            <w:r>
              <w:t xml:space="preserve">Median competitions at age 15–16</w:t>
            </w:r>
          </w:p>
        </w:tc>
        <w:tc>
          <w:tcPr/>
          <w:p>
            <w:pPr>
              <w:pStyle w:val="Compact"/>
            </w:pPr>
            <w:r>
              <w:t xml:space="preserve">7</w:t>
            </w:r>
          </w:p>
        </w:tc>
        <w:tc>
          <w:tcPr/>
          <w:p>
            <w:pPr>
              <w:pStyle w:val="Compact"/>
            </w:pPr>
            <w:r>
              <w:t xml:space="preserve">9</w:t>
            </w:r>
          </w:p>
        </w:tc>
        <w:tc>
          <w:tcPr/>
          <w:p>
            <w:pPr>
              <w:pStyle w:val="Compact"/>
            </w:pPr>
            <w:r>
              <w:t xml:space="preserve">8</w:t>
            </w:r>
          </w:p>
        </w:tc>
      </w:tr>
    </w:tbl>
    <w:p>
      <w:pPr>
        <w:pStyle w:val="BodyText"/>
      </w:pPr>
      <w:r>
        <w:rPr>
          <w:i/>
          <w:iCs/>
        </w:rPr>
        <w:t xml:space="preserve">Note.</w:t>
      </w:r>
      <w:r>
        <w:t xml:space="preserve"> </w:t>
      </w:r>
      <w:r>
        <w:t xml:space="preserve">“Active”</w:t>
      </w:r>
      <w:r>
        <w:t xml:space="preserve"> </w:t>
      </w:r>
      <w:r>
        <w:t xml:space="preserve">indicates ≥2 registered competition results in any calendar year at the specified age. Tyrving points = Norwegian Athletics Federation’s age-norm score where 1,000 =</w:t>
      </w:r>
      <w:r>
        <w:t xml:space="preserve"> </w:t>
      </w:r>
      <w:r>
        <w:t xml:space="preserve">“excellent”</w:t>
      </w:r>
      <w:r>
        <w:t xml:space="preserve"> </w:t>
      </w:r>
      <w:r>
        <w:t xml:space="preserve">for that event × sex × age combination.</w:t>
      </w:r>
    </w:p>
    <w:p>
      <w:r>
        <w:pict>
          <v:rect style="width:0;height:1.5pt" o:hralign="center" o:hrstd="t" o:hr="t"/>
        </w:pict>
      </w:r>
    </w:p>
    <w:bookmarkEnd w:id="38"/>
    <w:bookmarkStart w:id="45" w:name="X283e66ce83280030d5cf44482c44fe397a3e141"/>
    <w:p>
      <w:pPr>
        <w:pStyle w:val="Heading2"/>
      </w:pPr>
      <w:r>
        <w:t xml:space="preserve">3.2 Competition-volume trajectories diverge before formal exit</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are similar — though not identical — at ages 13 and 14: retainers competed in a median of 13 and 16.5 meets respectively, dropouts in 8 and 8. From age 15 onwards the trajectories diverge sharply. Retainers increased their participation to a peak of 19 meets at age 15 and sustained it through age 17 (18 and 17 meets at ages 16 and 17 respectively). Dropouts collapsed from 8 meets at age 14 to a median of 3 at age 15, 0 at age 16, and 0 thereafter. Critically, the divergence is visible</w:t>
      </w:r>
      <w:r>
        <w:t xml:space="preserve"> </w:t>
      </w:r>
      <w:r>
        <w:rPr>
          <w:i/>
          <w:iCs/>
        </w:rPr>
        <w:t xml:space="preserve">before</w:t>
      </w:r>
      <w:r>
        <w:t xml:space="preserve"> </w:t>
      </w:r>
      <w:r>
        <w:t xml:space="preserve">most dropouts had left competition entirely; the interquartile range for dropouts at age 15 (0–11 meets) shows that many were still nominally competing while pulling back, consistent with the gradual withdrawal pattern described in the qualitative literature.</w:t>
      </w:r>
    </w:p>
    <w:p>
      <w:pPr>
        <w:pStyle w:val="CaptionedFigure"/>
      </w:pPr>
      <w:r>
        <w:drawing>
          <wp:inline>
            <wp:extent cx="5334000" cy="2974817"/>
            <wp:effectExtent b="0" l="0" r="0" t="0"/>
            <wp:docPr descr="Figure 1" title="" id="40" name="Picture"/>
            <a:graphic>
              <a:graphicData uri="http://schemas.openxmlformats.org/drawingml/2006/picture">
                <pic:pic>
                  <pic:nvPicPr>
                    <pic:cNvPr descr="figures/fig1_conceptual_model.png" id="41" name="Picture"/>
                    <pic:cNvPicPr>
                      <a:picLocks noChangeArrowheads="1" noChangeAspect="1"/>
                    </pic:cNvPicPr>
                  </pic:nvPicPr>
                  <pic:blipFill>
                    <a:blip r:embed="rId39"/>
                    <a:stretch>
                      <a:fillRect/>
                    </a:stretch>
                  </pic:blipFill>
                  <pic:spPr bwMode="auto">
                    <a:xfrm>
                      <a:off x="0" y="0"/>
                      <a:ext cx="5334000" cy="2974817"/>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A behavioral-marker model of youth-sport disengagement. The diagram shows the relationship being tested: theoretical mechanisms hypothesized by the Sport Commitment Model, self-determination theory, and the role-exit / withdrawal-as-process tradition (left) are not directly observed, but are predicted to leave a footprint in measurable competition behavior (centre), which precedes the outcome of active senior retention (right).</w:t>
      </w:r>
    </w:p>
    <w:p>
      <w:pPr>
        <w:pStyle w:val="CaptionedFigure"/>
      </w:pPr>
      <w:r>
        <w:drawing>
          <wp:inline>
            <wp:extent cx="5334000" cy="3379960"/>
            <wp:effectExtent b="0" l="0" r="0" t="0"/>
            <wp:docPr descr="Figure 2" title="" id="43" name="Picture"/>
            <a:graphic>
              <a:graphicData uri="http://schemas.openxmlformats.org/drawingml/2006/picture">
                <pic:pic>
                  <pic:nvPicPr>
                    <pic:cNvPr descr="figures/fig2_volume_trajectory.png" id="44" name="Picture"/>
                    <pic:cNvPicPr>
                      <a:picLocks noChangeArrowheads="1" noChangeAspect="1"/>
                    </pic:cNvPicPr>
                  </pic:nvPicPr>
                  <pic:blipFill>
                    <a:blip r:embed="rId42"/>
                    <a:stretch>
                      <a:fillRect/>
                    </a:stretch>
                  </pic:blipFill>
                  <pic:spPr bwMode="auto">
                    <a:xfrm>
                      <a:off x="0" y="0"/>
                      <a:ext cx="5334000" cy="337996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dropouts show declining participation at age 15, while future retainers maintain or increase participation through age 17.</w:t>
      </w:r>
    </w:p>
    <w:bookmarkEnd w:id="45"/>
    <w:bookmarkStart w:id="46"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[6–21]</w:t>
            </w:r>
          </w:p>
        </w:tc>
        <w:tc>
          <w:tcPr/>
          <w:p>
            <w:pPr>
              <w:pStyle w:val="Compact"/>
            </w:pPr>
            <w:r>
              <w:t xml:space="preserve">17 [10–25]</w:t>
            </w:r>
          </w:p>
        </w:tc>
        <w:tc>
          <w:tcPr/>
          <w:p>
            <w:pPr>
              <w:pStyle w:val="Compact"/>
            </w:pPr>
            <w:r>
              <w:t xml:space="preserve">19 [11–27]</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1,775</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per year [IQR]. Trajectories diverge sharply from age 15.</w:t>
      </w:r>
    </w:p>
    <w:p>
      <w:r>
        <w:pict>
          <v:rect style="width:0;height:1.5pt" o:hralign="center" o:hrstd="t" o:hr="t"/>
        </w:pict>
      </w:r>
    </w:p>
    <w:bookmarkEnd w:id="46"/>
    <w:bookmarkStart w:id="50" w:name="survival-to-active-senior-age"/>
    <w:p>
      <w:pPr>
        <w:pStyle w:val="Heading2"/>
      </w:pPr>
      <w:r>
        <w:t xml:space="preserve">3.3 Survival to active senior age</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w:t>
      </w:r>
    </w:p>
    <w:p>
      <w:pPr>
        <w:pStyle w:val="BodyText"/>
      </w:pPr>
      <w:r>
        <w:t xml:space="preserve">When the cohort is stratified by competition volume at age 15–16 (Figure 3), retention curves separate clearly and monotonically: athletes who competed in 31 or more meets across ages 15–16 retained 71% senior activity, while athletes who competed in none retained only 4%. Stratifying instead by number of championship types entered before age 17 (Supplementary Figure S4) reveals the same pattern: athletes who competed in all four championship types (UM, JrNM, NM, KM) retained 91% senior activity, while athletes who entered zero retained 5%.</w:t>
      </w:r>
    </w:p>
    <w:p>
      <w:pPr>
        <w:pStyle w:val="CaptionedFigure"/>
      </w:pPr>
      <w:r>
        <w:drawing>
          <wp:inline>
            <wp:extent cx="5334000" cy="3675761"/>
            <wp:effectExtent b="0" l="0" r="0" t="0"/>
            <wp:docPr descr="Figure 3" title="" id="48" name="Picture"/>
            <a:graphic>
              <a:graphicData uri="http://schemas.openxmlformats.org/drawingml/2006/picture">
                <pic:pic>
                  <pic:nvPicPr>
                    <pic:cNvPr descr="figures/fig3_km_vol_quintile.png" id="49" name="Picture"/>
                    <pic:cNvPicPr>
                      <a:picLocks noChangeArrowheads="1" noChangeAspect="1"/>
                    </pic:cNvPicPr>
                  </pic:nvPicPr>
                  <pic:blipFill>
                    <a:blip r:embed="rId47"/>
                    <a:stretch>
                      <a:fillRect/>
                    </a:stretch>
                  </pic:blipFill>
                  <pic:spPr bwMode="auto">
                    <a:xfrm>
                      <a:off x="0" y="0"/>
                      <a:ext cx="5334000" cy="3675761"/>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Kaplan–Meier retention curves stratified by total competition volume across ages 15 and 16. Strata are: 0 meets, 1–5 meets, 6–15 meets, 16–30 meets, and 31+ meets. Athletes in the highest stratum retained 71% senior activity at follow-up year 14; athletes in the lowest stratum retained 4%.</w:t>
      </w:r>
    </w:p>
    <w:bookmarkEnd w:id="50"/>
    <w:bookmarkStart w:id="51" w:name="stepwise-cox-regression"/>
    <w:p>
      <w:pPr>
        <w:pStyle w:val="Heading2"/>
      </w:pPr>
      <w:r>
        <w:t xml:space="preserve">3.4 Stepwise Cox regression</w:t>
      </w:r>
    </w:p>
    <w:p>
      <w:pPr>
        <w:pStyle w:val="FirstParagraph"/>
      </w:pPr>
      <w:r>
        <w:t xml:space="preserve">Cox proportional hazards models were fitted in five nested specifications (Table 3). Sex alone produced a near-chance C-index of 0.498 (HR for female = 1.04, p = 0.35). Adding standardized Tyrving baseline performance raised the C-index to 0.574 (HR per SD = 0.86, p &lt; .001), showing a modest protective effect of higher performance. Adding early specialization (HHI) did not improve discrimination (M3 C = 0.573; HHI HR = 0.98, p = 0.46).</w:t>
      </w:r>
    </w:p>
    <w:p>
      <w:pPr>
        <w:pStyle w:val="BodyText"/>
      </w:pPr>
      <w:r>
        <w:t xml:space="preserve">Adding standardized competition volume at age 15–16 in M4 produced a substantial jump in C-index from 0.573 to 0.846. In this model, vol_milepael was associated with a hazard ratio of 0.352 per SD (95% CI: 0.327–0.380, p &lt; .001), corresponding to a substantially lower observed dropout hazard at higher milestone-window competition volume. The previously significant Tyrving coefficient became non-significant once volume was entered (HR = 1.04, p = 0.17): once an athlete’s behavioral engagement at the milestone is known, knowing their baseline performance adds little additional discrimination.</w:t>
      </w:r>
      <w:r>
        <w:t xml:space="preserve"> </w:t>
      </w:r>
      <w:r>
        <w:rPr>
          <w:b/>
          <w:bCs/>
        </w:rPr>
        <w:t xml:space="preserve">Because both predictor and outcome are derived from registered competition behavior, the large gain in classification accuracy should be interpreted as capturing the temporal unfolding of disengagement rather than as independent predictive power; the landmark analysis in Section 3.5 addresses this directly.</w:t>
      </w:r>
    </w:p>
    <w:p>
      <w:pPr>
        <w:pStyle w:val="BodyText"/>
      </w:pPr>
      <w:r>
        <w:t xml:space="preserve">Adding the count of championship types in M5 did not improve discrimination further (C = 0.842) but the championship variable itself was strongly associated with retention (HR = 0.74 per type, p &lt; .001). In the fuller model the sex coefficient achieved nominal significance (HR for female = 1.12, p = 0.025): for given combinations of performance, specialization, volume, and championship breadth, female athletes had slightly higher dropout hazard than male athletes — an adjusted sex effect that was hidden in the unadjusted analysis.</w:t>
      </w:r>
    </w:p>
    <w:p>
      <w:pPr>
        <w:pStyle w:val="BodyText"/>
      </w:pPr>
      <w:r>
        <w:t xml:space="preserve">The minimum detectable hazard ratio under Hsieh and Lavori (2000) with 1,570 events and 80% power was HR = 1.07; all reported null findings (e.g., baseline-only sex coefficient) were therefore well-powered to detect substantively meaningful effects.</w:t>
      </w:r>
    </w:p>
    <w:bookmarkEnd w:id="51"/>
    <w:bookmarkStart w:id="52" w:name="X7d34bfa70e5826ca52b0a5ac69fbe0293f63528"/>
    <w:p>
      <w:pPr>
        <w:pStyle w:val="Heading2"/>
      </w:pPr>
      <w:r>
        <w:t xml:space="preserve">Table 3. Stepwise Cox proportional hazards models for time to dropout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c>
          <w:tcPr/>
          <w:p>
            <w:pPr>
              <w:pStyle w:val="Compact"/>
            </w:pPr>
            <w:r>
              <w:t xml:space="preserve">C-index</w:t>
            </w:r>
          </w:p>
        </w:tc>
        <w:tc>
          <w:tcPr/>
          <w:p>
            <w:pPr>
              <w:pStyle w:val="Compact"/>
            </w:pPr>
            <w:r>
              <w:t xml:space="preserve">n</w:t>
            </w:r>
          </w:p>
        </w:tc>
      </w:tr>
      <w:tr>
        <w:tc>
          <w:tcPr/>
          <w:p>
            <w:pPr>
              <w:pStyle w:val="Compact"/>
            </w:pPr>
            <w:r>
              <w:t xml:space="preserve">M1: Sex only</w:t>
            </w:r>
          </w:p>
        </w:tc>
        <w:tc>
          <w:tcPr/>
          <w:p>
            <w:pPr>
              <w:pStyle w:val="Compact"/>
            </w:pPr>
            <w:r>
              <w:t xml:space="preserve">Female</w:t>
            </w:r>
          </w:p>
        </w:tc>
        <w:tc>
          <w:tcPr/>
          <w:p>
            <w:pPr>
              <w:pStyle w:val="Compact"/>
            </w:pPr>
            <w:r>
              <w:t xml:space="preserve">1.04</w:t>
            </w:r>
          </w:p>
        </w:tc>
        <w:tc>
          <w:tcPr/>
          <w:p>
            <w:pPr>
              <w:pStyle w:val="Compact"/>
            </w:pPr>
            <w:r>
              <w:t xml:space="preserve">[0.95, 1.14]</w:t>
            </w:r>
          </w:p>
        </w:tc>
        <w:tc>
          <w:tcPr/>
          <w:p>
            <w:pPr>
              <w:pStyle w:val="Compact"/>
            </w:pPr>
            <w:r>
              <w:t xml:space="preserve">.352</w:t>
            </w:r>
          </w:p>
        </w:tc>
        <w:tc>
          <w:tcPr/>
          <w:p>
            <w:pPr>
              <w:pStyle w:val="Compact"/>
            </w:pPr>
            <w:r>
              <w:t xml:space="preserve">0.498</w:t>
            </w:r>
          </w:p>
        </w:tc>
        <w:tc>
          <w:tcPr/>
          <w:p>
            <w:pPr>
              <w:pStyle w:val="Compact"/>
            </w:pPr>
            <w:r>
              <w:t xml:space="preserve">2,123</w:t>
            </w:r>
          </w:p>
        </w:tc>
      </w:tr>
      <w:tr>
        <w:tc>
          <w:tcPr/>
          <w:p>
            <w:pPr>
              <w:pStyle w:val="Compact"/>
            </w:pPr>
            <w:r>
              <w:t xml:space="preserve">M2: + Performance</w:t>
            </w:r>
          </w:p>
        </w:tc>
        <w:tc>
          <w:tcPr/>
          <w:p>
            <w:pPr>
              <w:pStyle w:val="Compact"/>
            </w:pPr>
            <w:r>
              <w:t xml:space="preserve">Female</w:t>
            </w:r>
          </w:p>
        </w:tc>
        <w:tc>
          <w:tcPr/>
          <w:p>
            <w:pPr>
              <w:pStyle w:val="Compact"/>
            </w:pPr>
            <w:r>
              <w:t xml:space="preserve">1.10</w:t>
            </w:r>
          </w:p>
        </w:tc>
        <w:tc>
          <w:tcPr/>
          <w:p>
            <w:pPr>
              <w:pStyle w:val="Compact"/>
            </w:pPr>
            <w:r>
              <w:t xml:space="preserve">[1.00, 1.22]</w:t>
            </w:r>
          </w:p>
        </w:tc>
        <w:tc>
          <w:tcPr/>
          <w:p>
            <w:pPr>
              <w:pStyle w:val="Compact"/>
            </w:pPr>
            <w:r>
              <w:t xml:space="preserve">.052</w:t>
            </w:r>
          </w:p>
        </w:tc>
        <w:tc>
          <w:tcPr/>
          <w:p>
            <w:pPr>
              <w:pStyle w:val="Compact"/>
            </w:pPr>
            <w:r>
              <w:t xml:space="preserve">0.574</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0.86</w:t>
            </w:r>
          </w:p>
        </w:tc>
        <w:tc>
          <w:tcPr/>
          <w:p>
            <w:pPr>
              <w:pStyle w:val="Compact"/>
            </w:pPr>
            <w:r>
              <w:t xml:space="preserve">[0.82, 0.90]</w:t>
            </w:r>
          </w:p>
        </w:tc>
        <w:tc>
          <w:tcPr/>
          <w:p>
            <w:pPr>
              <w:pStyle w:val="Compact"/>
            </w:pPr>
            <w:r>
              <w:t xml:space="preserve">&lt; .001</w:t>
            </w:r>
          </w:p>
        </w:tc>
        <w:tc>
          <w:tcPr/>
          <w:p>
            <w:pPr>
              <w:pStyle w:val="Compact"/>
            </w:pPr>
          </w:p>
        </w:tc>
        <w:tc>
          <w:tcPr/>
          <w:p>
            <w:pPr>
              <w:pStyle w:val="Compact"/>
            </w:pPr>
          </w:p>
        </w:tc>
      </w:tr>
      <w:tr>
        <w:tc>
          <w:tcPr/>
          <w:p>
            <w:pPr>
              <w:pStyle w:val="Compact"/>
            </w:pPr>
            <w:r>
              <w:t xml:space="preserve">M3: + Specialization</w:t>
            </w:r>
          </w:p>
        </w:tc>
        <w:tc>
          <w:tcPr/>
          <w:p>
            <w:pPr>
              <w:pStyle w:val="Compact"/>
            </w:pPr>
            <w:r>
              <w:t xml:space="preserve">Female</w:t>
            </w:r>
          </w:p>
        </w:tc>
        <w:tc>
          <w:tcPr/>
          <w:p>
            <w:pPr>
              <w:pStyle w:val="Compact"/>
            </w:pPr>
            <w:r>
              <w:t xml:space="preserve">1.10</w:t>
            </w:r>
          </w:p>
        </w:tc>
        <w:tc>
          <w:tcPr/>
          <w:p>
            <w:pPr>
              <w:pStyle w:val="Compact"/>
            </w:pPr>
            <w:r>
              <w:t xml:space="preserve">[1.00, 1.22]</w:t>
            </w:r>
          </w:p>
        </w:tc>
        <w:tc>
          <w:tcPr/>
          <w:p>
            <w:pPr>
              <w:pStyle w:val="Compact"/>
            </w:pPr>
            <w:r>
              <w:t xml:space="preserve">.059</w:t>
            </w:r>
          </w:p>
        </w:tc>
        <w:tc>
          <w:tcPr/>
          <w:p>
            <w:pPr>
              <w:pStyle w:val="Compact"/>
            </w:pPr>
            <w:r>
              <w:t xml:space="preserve">0.573</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0.86</w:t>
            </w:r>
          </w:p>
        </w:tc>
        <w:tc>
          <w:tcPr/>
          <w:p>
            <w:pPr>
              <w:pStyle w:val="Compact"/>
            </w:pPr>
            <w:r>
              <w:t xml:space="preserve">[0.82, 0.90]</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0.98</w:t>
            </w:r>
          </w:p>
        </w:tc>
        <w:tc>
          <w:tcPr/>
          <w:p>
            <w:pPr>
              <w:pStyle w:val="Compact"/>
            </w:pPr>
            <w:r>
              <w:t xml:space="preserve">[0.93, 1.03]</w:t>
            </w:r>
          </w:p>
        </w:tc>
        <w:tc>
          <w:tcPr/>
          <w:p>
            <w:pPr>
              <w:pStyle w:val="Compact"/>
            </w:pPr>
            <w:r>
              <w:t xml:space="preserve">.455</w:t>
            </w:r>
          </w:p>
        </w:tc>
        <w:tc>
          <w:tcPr/>
          <w:p>
            <w:pPr>
              <w:pStyle w:val="Compact"/>
            </w:pPr>
          </w:p>
        </w:tc>
        <w:tc>
          <w:tcPr/>
          <w:p>
            <w:pPr>
              <w:pStyle w:val="Compact"/>
            </w:pPr>
          </w:p>
        </w:tc>
      </w:tr>
      <w:tr>
        <w:tc>
          <w:tcPr/>
          <w:p>
            <w:pPr>
              <w:pStyle w:val="Compact"/>
            </w:pPr>
            <w:r>
              <w:t xml:space="preserve">M4: + Volume at milestone</w:t>
            </w:r>
          </w:p>
        </w:tc>
        <w:tc>
          <w:tcPr/>
          <w:p>
            <w:pPr>
              <w:pStyle w:val="Compact"/>
            </w:pPr>
            <w:r>
              <w:t xml:space="preserve">Female</w:t>
            </w:r>
          </w:p>
        </w:tc>
        <w:tc>
          <w:tcPr/>
          <w:p>
            <w:pPr>
              <w:pStyle w:val="Compact"/>
            </w:pPr>
            <w:r>
              <w:t xml:space="preserve">1.09</w:t>
            </w:r>
          </w:p>
        </w:tc>
        <w:tc>
          <w:tcPr/>
          <w:p>
            <w:pPr>
              <w:pStyle w:val="Compact"/>
            </w:pPr>
            <w:r>
              <w:t xml:space="preserve">[0.98, 1.20]</w:t>
            </w:r>
          </w:p>
        </w:tc>
        <w:tc>
          <w:tcPr/>
          <w:p>
            <w:pPr>
              <w:pStyle w:val="Compact"/>
            </w:pPr>
            <w:r>
              <w:t xml:space="preserve">.109</w:t>
            </w:r>
          </w:p>
        </w:tc>
        <w:tc>
          <w:tcPr/>
          <w:p>
            <w:pPr>
              <w:pStyle w:val="Compact"/>
            </w:pPr>
            <w:r>
              <w:rPr>
                <w:b/>
                <w:bCs/>
              </w:rPr>
              <w:t xml:space="preserve">0.846</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1.04</w:t>
            </w:r>
          </w:p>
        </w:tc>
        <w:tc>
          <w:tcPr/>
          <w:p>
            <w:pPr>
              <w:pStyle w:val="Compact"/>
            </w:pPr>
            <w:r>
              <w:t xml:space="preserve">[0.99, 1.09]</w:t>
            </w:r>
          </w:p>
        </w:tc>
        <w:tc>
          <w:tcPr/>
          <w:p>
            <w:pPr>
              <w:pStyle w:val="Compact"/>
            </w:pPr>
            <w:r>
              <w:t xml:space="preserve">.169</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0.95</w:t>
            </w:r>
          </w:p>
        </w:tc>
        <w:tc>
          <w:tcPr/>
          <w:p>
            <w:pPr>
              <w:pStyle w:val="Compact"/>
            </w:pPr>
            <w:r>
              <w:t xml:space="preserve">[0.90, 1.00]</w:t>
            </w:r>
          </w:p>
        </w:tc>
        <w:tc>
          <w:tcPr/>
          <w:p>
            <w:pPr>
              <w:pStyle w:val="Compact"/>
            </w:pPr>
            <w:r>
              <w:t xml:space="preserve">.061</w:t>
            </w:r>
          </w:p>
        </w:tc>
        <w:tc>
          <w:tcPr/>
          <w:p>
            <w:pPr>
              <w:pStyle w:val="Compact"/>
            </w:pPr>
          </w:p>
        </w:tc>
        <w:tc>
          <w:tcPr/>
          <w:p>
            <w:pPr>
              <w:pStyle w:val="Compact"/>
            </w:pPr>
          </w:p>
        </w:tc>
      </w:tr>
      <w:tr>
        <w:tc>
          <w:tcPr/>
          <w:p>
            <w:pPr>
              <w:pStyle w:val="Compact"/>
            </w:pPr>
          </w:p>
        </w:tc>
        <w:tc>
          <w:tcPr/>
          <w:p>
            <w:pPr>
              <w:pStyle w:val="Compact"/>
            </w:pPr>
            <w:r>
              <w:rPr>
                <w:b/>
                <w:bCs/>
              </w:rPr>
              <w:t xml:space="preserve">Volume at age 15–16 (z)</w:t>
            </w:r>
          </w:p>
        </w:tc>
        <w:tc>
          <w:tcPr/>
          <w:p>
            <w:pPr>
              <w:pStyle w:val="Compact"/>
            </w:pPr>
            <w:r>
              <w:rPr>
                <w:b/>
                <w:bCs/>
              </w:rPr>
              <w:t xml:space="preserve">0.35</w:t>
            </w:r>
          </w:p>
        </w:tc>
        <w:tc>
          <w:tcPr/>
          <w:p>
            <w:pPr>
              <w:pStyle w:val="Compact"/>
            </w:pPr>
            <w:r>
              <w:rPr>
                <w:b/>
                <w:bCs/>
              </w:rPr>
              <w:t xml:space="preserve">[0.33, 0.38]</w:t>
            </w:r>
          </w:p>
        </w:tc>
        <w:tc>
          <w:tcPr/>
          <w:p>
            <w:pPr>
              <w:pStyle w:val="Compact"/>
            </w:pPr>
            <w:r>
              <w:rPr>
                <w:b/>
                <w:bCs/>
              </w:rPr>
              <w:t xml:space="preserve">&lt; .001</w:t>
            </w:r>
          </w:p>
        </w:tc>
        <w:tc>
          <w:tcPr/>
          <w:p>
            <w:pPr>
              <w:pStyle w:val="Compact"/>
            </w:pPr>
          </w:p>
        </w:tc>
        <w:tc>
          <w:tcPr/>
          <w:p>
            <w:pPr>
              <w:pStyle w:val="Compact"/>
            </w:pPr>
          </w:p>
        </w:tc>
      </w:tr>
      <w:tr>
        <w:tc>
          <w:tcPr/>
          <w:p>
            <w:pPr>
              <w:pStyle w:val="Compact"/>
            </w:pPr>
            <w:r>
              <w:t xml:space="preserve">M5: + Championship types</w:t>
            </w:r>
          </w:p>
        </w:tc>
        <w:tc>
          <w:tcPr/>
          <w:p>
            <w:pPr>
              <w:pStyle w:val="Compact"/>
            </w:pPr>
            <w:r>
              <w:t xml:space="preserve">Female</w:t>
            </w:r>
          </w:p>
        </w:tc>
        <w:tc>
          <w:tcPr/>
          <w:p>
            <w:pPr>
              <w:pStyle w:val="Compact"/>
            </w:pPr>
            <w:r>
              <w:t xml:space="preserve">1.12</w:t>
            </w:r>
          </w:p>
        </w:tc>
        <w:tc>
          <w:tcPr/>
          <w:p>
            <w:pPr>
              <w:pStyle w:val="Compact"/>
            </w:pPr>
            <w:r>
              <w:t xml:space="preserve">[1.02, 1.24]</w:t>
            </w:r>
          </w:p>
        </w:tc>
        <w:tc>
          <w:tcPr/>
          <w:p>
            <w:pPr>
              <w:pStyle w:val="Compact"/>
            </w:pPr>
            <w:r>
              <w:t xml:space="preserve">.025</w:t>
            </w:r>
          </w:p>
        </w:tc>
        <w:tc>
          <w:tcPr/>
          <w:p>
            <w:pPr>
              <w:pStyle w:val="Compact"/>
            </w:pPr>
            <w:r>
              <w:t xml:space="preserve">0.842</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1.05</w:t>
            </w:r>
          </w:p>
        </w:tc>
        <w:tc>
          <w:tcPr/>
          <w:p>
            <w:pPr>
              <w:pStyle w:val="Compact"/>
            </w:pPr>
            <w:r>
              <w:t xml:space="preserve">[1.00, 1.10]</w:t>
            </w:r>
          </w:p>
        </w:tc>
        <w:tc>
          <w:tcPr/>
          <w:p>
            <w:pPr>
              <w:pStyle w:val="Compact"/>
            </w:pPr>
            <w:r>
              <w:t xml:space="preserve">.060</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0.95</w:t>
            </w:r>
          </w:p>
        </w:tc>
        <w:tc>
          <w:tcPr/>
          <w:p>
            <w:pPr>
              <w:pStyle w:val="Compact"/>
            </w:pPr>
            <w:r>
              <w:t xml:space="preserve">[0.90, 1.01]</w:t>
            </w:r>
          </w:p>
        </w:tc>
        <w:tc>
          <w:tcPr/>
          <w:p>
            <w:pPr>
              <w:pStyle w:val="Compact"/>
            </w:pPr>
            <w:r>
              <w:t xml:space="preserve">.080</w:t>
            </w:r>
          </w:p>
        </w:tc>
        <w:tc>
          <w:tcPr/>
          <w:p>
            <w:pPr>
              <w:pStyle w:val="Compact"/>
            </w:pPr>
          </w:p>
        </w:tc>
        <w:tc>
          <w:tcPr/>
          <w:p>
            <w:pPr>
              <w:pStyle w:val="Compact"/>
            </w:pPr>
          </w:p>
        </w:tc>
      </w:tr>
      <w:tr>
        <w:tc>
          <w:tcPr/>
          <w:p>
            <w:pPr>
              <w:pStyle w:val="Compact"/>
            </w:pPr>
          </w:p>
        </w:tc>
        <w:tc>
          <w:tcPr/>
          <w:p>
            <w:pPr>
              <w:pStyle w:val="Compact"/>
            </w:pPr>
            <w:r>
              <w:t xml:space="preserve">Volume at age 15–16 (z)</w:t>
            </w:r>
          </w:p>
        </w:tc>
        <w:tc>
          <w:tcPr/>
          <w:p>
            <w:pPr>
              <w:pStyle w:val="Compact"/>
            </w:pPr>
            <w:r>
              <w:t xml:space="preserve">0.44</w:t>
            </w:r>
          </w:p>
        </w:tc>
        <w:tc>
          <w:tcPr/>
          <w:p>
            <w:pPr>
              <w:pStyle w:val="Compact"/>
            </w:pPr>
            <w:r>
              <w:t xml:space="preserve">[0.40, 0.48]</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Championship types (count, 0–4)</w:t>
            </w:r>
          </w:p>
        </w:tc>
        <w:tc>
          <w:tcPr/>
          <w:p>
            <w:pPr>
              <w:pStyle w:val="Compact"/>
            </w:pPr>
            <w:r>
              <w:t xml:space="preserve">0.74</w:t>
            </w:r>
          </w:p>
        </w:tc>
        <w:tc>
          <w:tcPr/>
          <w:p>
            <w:pPr>
              <w:pStyle w:val="Compact"/>
            </w:pPr>
            <w:r>
              <w:t xml:space="preserve">[0.69, 0.80]</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HRs are per one-SD increase for standardized covariates and per unit for the count of championship types. Schoenfeld residual tests detected proportional-hazards violations for vol_milepael, HHI early, and championship types; period-specific HRs are given in Table 5. The substantive effect is robust to the violation (Supplementary Table S6).</w:t>
      </w:r>
    </w:p>
    <w:p>
      <w:r>
        <w:pict>
          <v:rect style="width:0;height:1.5pt" o:hralign="center" o:hrstd="t" o:hr="t"/>
        </w:pict>
      </w:r>
    </w:p>
    <w:bookmarkEnd w:id="52"/>
    <w:bookmarkStart w:id="53" w:name="X00588613d6b03a3e9bfc587807e608958e77f8e"/>
    <w:p>
      <w:pPr>
        <w:pStyle w:val="Heading2"/>
      </w:pPr>
      <w:r>
        <w:t xml:space="preserve">3.5 Landmark analysis: the volume signal is not measurement-tautology</w:t>
      </w:r>
    </w:p>
    <w:p>
      <w:pPr>
        <w:pStyle w:val="FirstParagraph"/>
      </w:pPr>
      <w:r>
        <w:t xml:space="preserve">Because senior retention is itself defined by registered competitive activity, the apparent predictive power of milestone-window volume could partly reflect a mechanical relationship: athletes who dropped out</w:t>
      </w:r>
      <w:r>
        <w:t xml:space="preserve"> </w:t>
      </w:r>
      <w:r>
        <w:rPr>
          <w:i/>
          <w:iCs/>
        </w:rPr>
        <w:t xml:space="preserve">before</w:t>
      </w:r>
      <w:r>
        <w:t xml:space="preserve"> </w:t>
      </w:r>
      <w:r>
        <w:t xml:space="preserve">age 15 have vol_milepael = 0 by construction. To address this, we restricted the analysis to athletes still demonstrably active at age 16 (n = 1,167 of the original 2,123) and re-fit the full Cox model with follow-up time measured from age 16.</w:t>
      </w:r>
    </w:p>
    <w:p>
      <w:pPr>
        <w:pStyle w:val="BodyText"/>
      </w:pPr>
      <w:r>
        <w:t xml:space="preserve">Among continuing athletes, milestone-window volume remained the dominant predictor of subsequent senior retention (HR = 0.60 per SD, 95% CI [0.54, 0.66], p &lt; .001; C-index = 0.735). Championship-types breadth also retained its effect (HR = 0.78, p &lt; .001). The behavioral signal is therefore unlikely to be fully explained by mechanical inclusion of athletes who had already dropped out before the milestone window. As a complementary check, re-estimating the full Cox model excluding athletes with vol_milepael = 0 produced HR = 0.51 for vol_milepael (95% CI [0.46, 0.56], p &lt; .001; n = 1,250; Supplementary Table S12) — a slight attenuation but a substantively unchanged effect.</w:t>
      </w:r>
    </w:p>
    <w:p>
      <w:pPr>
        <w:pStyle w:val="BodyText"/>
      </w:pPr>
      <w:r>
        <w:t xml:space="preserve">More importantly, a second check used the</w:t>
      </w:r>
      <w:r>
        <w:t xml:space="preserve"> </w:t>
      </w:r>
      <w:r>
        <w:rPr>
          <w:i/>
          <w:iCs/>
        </w:rPr>
        <w:t xml:space="preserve">pre-milestone</w:t>
      </w:r>
      <w:r>
        <w:t xml:space="preserve"> </w:t>
      </w:r>
      <w:r>
        <w:t xml:space="preserve">(ages 13–14) volume alone as the only behavioral predictor (Supplementary Table S10). Pre-milestone volume — measured during the baseline window itself, three years before the qualification milestone — was associated with senior retention almost as strongly as the milestone-window variable (HR = 0.50 per SD, 95% CI [0.46, 0.53], p &lt; .001). The behavioral signal is therefore detectable</w:t>
      </w:r>
      <w:r>
        <w:t xml:space="preserve"> </w:t>
      </w:r>
      <w:r>
        <w:rPr>
          <w:i/>
          <w:iCs/>
        </w:rPr>
        <w:t xml:space="preserve">before</w:t>
      </w:r>
      <w:r>
        <w:t xml:space="preserve"> </w:t>
      </w:r>
      <w:r>
        <w:t xml:space="preserve">the age 15–16 window, indicating that progressive disengagement is observable at the very onset of organized competitive participation rather than being a reaction to qualification-window outcomes. This is consistent with the qualitative literature’s characterization of dropout as a long deliberative process rather than a response to a specific selection event (Eliasson &amp; Johansson, 2021; Espedalen &amp; Seippel, 2022).</w:t>
      </w:r>
    </w:p>
    <w:bookmarkEnd w:id="53"/>
    <w:bookmarkStart w:id="54" w:name="X2c07cb964a497adccfe12c5c8fadd35e743445f"/>
    <w:p>
      <w:pPr>
        <w:pStyle w:val="Heading2"/>
      </w:pPr>
      <w:r>
        <w:t xml:space="preserve">Table 4. Landmark analysis at age 16 — among athletes still active at age 16, does milestone-window volume predict subsequent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1.32</w:t>
            </w:r>
          </w:p>
        </w:tc>
        <w:tc>
          <w:tcPr/>
          <w:p>
            <w:pPr>
              <w:pStyle w:val="Compact"/>
            </w:pPr>
            <w:r>
              <w:t xml:space="preserve">[1.15, 1.52]</w:t>
            </w:r>
          </w:p>
        </w:tc>
        <w:tc>
          <w:tcPr/>
          <w:p>
            <w:pPr>
              <w:pStyle w:val="Compact"/>
            </w:pPr>
            <w:r>
              <w:t xml:space="preserve">&lt; .001</w:t>
            </w:r>
          </w:p>
        </w:tc>
      </w:tr>
      <w:tr>
        <w:tc>
          <w:tcPr/>
          <w:p>
            <w:pPr>
              <w:pStyle w:val="Compact"/>
            </w:pPr>
            <w:r>
              <w:t xml:space="preserve">Tyrving (z)</w:t>
            </w:r>
          </w:p>
        </w:tc>
        <w:tc>
          <w:tcPr/>
          <w:p>
            <w:pPr>
              <w:pStyle w:val="Compact"/>
            </w:pPr>
            <w:r>
              <w:t xml:space="preserve">1.01</w:t>
            </w:r>
          </w:p>
        </w:tc>
        <w:tc>
          <w:tcPr/>
          <w:p>
            <w:pPr>
              <w:pStyle w:val="Compact"/>
            </w:pPr>
            <w:r>
              <w:t xml:space="preserve">[0.94, 1.08]</w:t>
            </w:r>
          </w:p>
        </w:tc>
        <w:tc>
          <w:tcPr/>
          <w:p>
            <w:pPr>
              <w:pStyle w:val="Compact"/>
            </w:pPr>
            <w:r>
              <w:t xml:space="preserve">.81</w:t>
            </w:r>
          </w:p>
        </w:tc>
      </w:tr>
      <w:tr>
        <w:tc>
          <w:tcPr/>
          <w:p>
            <w:pPr>
              <w:pStyle w:val="Compact"/>
            </w:pPr>
            <w:r>
              <w:t xml:space="preserve">HHI early (z)</w:t>
            </w:r>
          </w:p>
        </w:tc>
        <w:tc>
          <w:tcPr/>
          <w:p>
            <w:pPr>
              <w:pStyle w:val="Compact"/>
            </w:pPr>
            <w:r>
              <w:t xml:space="preserve">0.95</w:t>
            </w:r>
          </w:p>
        </w:tc>
        <w:tc>
          <w:tcPr/>
          <w:p>
            <w:pPr>
              <w:pStyle w:val="Compact"/>
            </w:pPr>
            <w:r>
              <w:t xml:space="preserve">[0.88, 1.02]</w:t>
            </w:r>
          </w:p>
        </w:tc>
        <w:tc>
          <w:tcPr/>
          <w:p>
            <w:pPr>
              <w:pStyle w:val="Compact"/>
            </w:pPr>
            <w:r>
              <w:t xml:space="preserve">.17</w:t>
            </w:r>
          </w:p>
        </w:tc>
      </w:tr>
      <w:tr>
        <w:tc>
          <w:tcPr/>
          <w:p>
            <w:pPr>
              <w:pStyle w:val="Compact"/>
            </w:pPr>
            <w:r>
              <w:rPr>
                <w:b/>
                <w:bCs/>
              </w:rPr>
              <w:t xml:space="preserve">Volume at age 15–16 (z)</w:t>
            </w:r>
          </w:p>
        </w:tc>
        <w:tc>
          <w:tcPr/>
          <w:p>
            <w:pPr>
              <w:pStyle w:val="Compact"/>
            </w:pPr>
            <w:r>
              <w:rPr>
                <w:b/>
                <w:bCs/>
              </w:rPr>
              <w:t xml:space="preserve">0.60</w:t>
            </w:r>
          </w:p>
        </w:tc>
        <w:tc>
          <w:tcPr/>
          <w:p>
            <w:pPr>
              <w:pStyle w:val="Compact"/>
            </w:pPr>
            <w:r>
              <w:rPr>
                <w:b/>
                <w:bCs/>
              </w:rPr>
              <w:t xml:space="preserve">[0.54, 0.66]</w:t>
            </w:r>
          </w:p>
        </w:tc>
        <w:tc>
          <w:tcPr/>
          <w:p>
            <w:pPr>
              <w:pStyle w:val="Compact"/>
            </w:pPr>
            <w:r>
              <w:rPr>
                <w:b/>
                <w:bCs/>
              </w:rPr>
              <w:t xml:space="preserve">&lt; .001</w:t>
            </w:r>
          </w:p>
        </w:tc>
      </w:tr>
      <w:tr>
        <w:tc>
          <w:tcPr/>
          <w:p>
            <w:pPr>
              <w:pStyle w:val="Compact"/>
            </w:pPr>
            <w:r>
              <w:t xml:space="preserve">Championship types</w:t>
            </w:r>
          </w:p>
        </w:tc>
        <w:tc>
          <w:tcPr/>
          <w:p>
            <w:pPr>
              <w:pStyle w:val="Compact"/>
            </w:pPr>
            <w:r>
              <w:t xml:space="preserve">0.78</w:t>
            </w:r>
          </w:p>
        </w:tc>
        <w:tc>
          <w:tcPr/>
          <w:p>
            <w:pPr>
              <w:pStyle w:val="Compact"/>
            </w:pPr>
            <w:r>
              <w:t xml:space="preserve">[0.71, 0.87]</w:t>
            </w:r>
          </w:p>
        </w:tc>
        <w:tc>
          <w:tcPr/>
          <w:p>
            <w:pPr>
              <w:pStyle w:val="Compact"/>
            </w:pPr>
            <w:r>
              <w:t xml:space="preserve">&lt; .001</w:t>
            </w:r>
          </w:p>
        </w:tc>
      </w:tr>
      <w:tr>
        <w:tc>
          <w:tcPr/>
          <w:p>
            <w:pPr>
              <w:pStyle w:val="Compact"/>
            </w:pPr>
            <w:r>
              <w:t xml:space="preserve">n</w:t>
            </w:r>
          </w:p>
        </w:tc>
        <w:tc>
          <w:tcPr/>
          <w:p>
            <w:pPr>
              <w:pStyle w:val="Compact"/>
            </w:pPr>
            <w:r>
              <w:t xml:space="preserve">960</w:t>
            </w:r>
          </w:p>
        </w:tc>
        <w:tc>
          <w:tcPr/>
          <w:p>
            <w:pPr>
              <w:pStyle w:val="Compact"/>
            </w:pPr>
          </w:p>
        </w:tc>
        <w:tc>
          <w:tcPr/>
          <w:p>
            <w:pPr>
              <w:pStyle w:val="Compact"/>
            </w:pPr>
          </w:p>
        </w:tc>
      </w:tr>
      <w:tr>
        <w:tc>
          <w:tcPr/>
          <w:p>
            <w:pPr>
              <w:pStyle w:val="Compact"/>
            </w:pPr>
            <w:r>
              <w:t xml:space="preserve">C-index</w:t>
            </w:r>
          </w:p>
        </w:tc>
        <w:tc>
          <w:tcPr/>
          <w:p>
            <w:pPr>
              <w:pStyle w:val="Compact"/>
            </w:pPr>
            <w:r>
              <w:t xml:space="preserve">0.735</w:t>
            </w:r>
          </w:p>
        </w:tc>
        <w:tc>
          <w:tcPr/>
          <w:p>
            <w:pPr>
              <w:pStyle w:val="Compact"/>
            </w:pPr>
          </w:p>
        </w:tc>
        <w:tc>
          <w:tcPr/>
          <w:p>
            <w:pPr>
              <w:pStyle w:val="Compact"/>
            </w:pPr>
          </w:p>
        </w:tc>
      </w:tr>
    </w:tbl>
    <w:p>
      <w:pPr>
        <w:pStyle w:val="BodyText"/>
      </w:pPr>
      <w:r>
        <w:rPr>
          <w:i/>
          <w:iCs/>
        </w:rPr>
        <w:t xml:space="preserve">Note.</w:t>
      </w:r>
      <w:r>
        <w:t xml:space="preserve"> </w:t>
      </w:r>
      <w:r>
        <w:t xml:space="preserve">Athletes still demonstrably active at age 16 (defined as ≥1 registered result at age 16; n = 1,167 of 2,123); n = 960 after complete-case restriction on covariates. Follow-up time measured from age 16. The volume effect remains the dominant predictor among continuing athletes, ruling out a measurement-tautology interpretation. A complementary analysis using only pre-milestone (ages 13–14) volume produced HR = 0.50 (Supplementary Table S10), showing the signal is detectable before the milestone window itself.</w:t>
      </w:r>
    </w:p>
    <w:p>
      <w:r>
        <w:pict>
          <v:rect style="width:0;height:1.5pt" o:hralign="center" o:hrstd="t" o:hr="t"/>
        </w:pict>
      </w:r>
    </w:p>
    <w:bookmarkEnd w:id="54"/>
    <w:bookmarkStart w:id="58" w:name="time-varying-effects"/>
    <w:p>
      <w:pPr>
        <w:pStyle w:val="Heading2"/>
      </w:pPr>
      <w:r>
        <w:t xml:space="preserve">3.6 Time-varying effects</w:t>
      </w:r>
    </w:p>
    <w:p>
      <w:pPr>
        <w:pStyle w:val="FirstParagraph"/>
      </w:pPr>
      <w:r>
        <w:t xml:space="preserve">Schoenfeld residual tests indicated that the proportional-hazards assumption was satisfied for sex (χ²₁ = 2.50, p = .11) and for baseline Tyrving performance (χ²₁ = 0.12, p = .73), but violated for the specialization (χ²₁ = 11.12, p &lt; .001), championship-types (χ²₁ = 10.89, p = .001), and milestone-window volume (χ²₁ = 220.77, p &lt; .001) covariates (Supplementary Table S1). To verify that the violations did not change substantive conclusions, we re-fit the model stratified on the most-violating discrete covariate (HHI tercile); remaining effects retained their direction, magnitude, and significance (Supplementary Table S6).</w:t>
      </w:r>
    </w:p>
    <w:p>
      <w:pPr>
        <w:pStyle w:val="BodyText"/>
      </w:pPr>
      <w:r>
        <w:t xml:space="preserve">To characterize the time-varying nature of the dominant predictor, we fit period-specific Cox models in three follow-up windows (Figure 4, Table 5). The protective association of milestone-window volume was strongest in the first three years post-baseline (HR = 0.14, 95% CI: 0.11–0.16), moderate in years 3–6 (HR = 0.69, 95% CI: 0.60–0.79), and absent in years 6+ (HR = 0.96, 95% CI: 0.77–1.19). This pattern suggests that competition volume functions as a</w:t>
      </w:r>
      <w:r>
        <w:t xml:space="preserve"> </w:t>
      </w:r>
      <w:r>
        <w:rPr>
          <w:i/>
          <w:iCs/>
        </w:rPr>
        <w:t xml:space="preserve">proximal behavioral marker of disengagement</w:t>
      </w:r>
      <w:r>
        <w:t xml:space="preserve"> </w:t>
      </w:r>
      <w:r>
        <w:t xml:space="preserve">— informative for retention prediction within the immediate post-baseline window — rather than as a stable trait-like predictor of long-term athletic disposition. Effect sizes for the other covariates were stable across windows.</w:t>
      </w:r>
    </w:p>
    <w:p>
      <w:pPr>
        <w:pStyle w:val="CaptionedFigure"/>
      </w:pPr>
      <w:r>
        <w:drawing>
          <wp:inline>
            <wp:extent cx="5334000" cy="3908701"/>
            <wp:effectExtent b="0" l="0" r="0" t="0"/>
            <wp:docPr descr="Figure 4" title="" id="56" name="Picture"/>
            <a:graphic>
              <a:graphicData uri="http://schemas.openxmlformats.org/drawingml/2006/picture">
                <pic:pic>
                  <pic:nvPicPr>
                    <pic:cNvPr descr="figures/fig4_time_varying_forest.png" id="57" name="Picture"/>
                    <pic:cNvPicPr>
                      <a:picLocks noChangeArrowheads="1" noChangeAspect="1"/>
                    </pic:cNvPicPr>
                  </pic:nvPicPr>
                  <pic:blipFill>
                    <a:blip r:embed="rId55"/>
                    <a:stretch>
                      <a:fillRect/>
                    </a:stretch>
                  </pic:blipFill>
                  <pic:spPr bwMode="auto">
                    <a:xfrm>
                      <a:off x="0" y="0"/>
                      <a:ext cx="5334000" cy="3908701"/>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Time-varying hazard ratios for the full Cox model across three follow-up periods (years 0–3, 3–6, 6+ post-baseline). Hazard ratios are per-SD for standardized covariates (vol_milepael, Tyrving, HHI early) and per-unit for championship types and female. The dominant predictor — competition volume at age 15–16 — is highly protective in years 0–3 (HR = 0.14), moderately protective in years 3–6 (HR = 0.69), and indistinguishable from null in years 6+ (HR = 0.96).</w:t>
      </w:r>
    </w:p>
    <w:bookmarkEnd w:id="58"/>
    <w:bookmarkStart w:id="59" w:name="Xa05187ee0a9bef3703e8a486f85bae536c25ebe"/>
    <w:p>
      <w:pPr>
        <w:pStyle w:val="Heading2"/>
      </w:pPr>
      <w:r>
        <w:t xml:space="preserve">Table 5. Time-varying hazard ratios across follow-up periods (full Cox model,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(age 13–17)</w:t>
            </w:r>
          </w:p>
        </w:tc>
        <w:tc>
          <w:tcPr/>
          <w:p>
            <w:pPr>
              <w:pStyle w:val="Compact"/>
            </w:pPr>
            <w:r>
              <w:t xml:space="preserve">Years 3–6 (age 16–19)</w:t>
            </w:r>
          </w:p>
        </w:tc>
        <w:tc>
          <w:tcPr/>
          <w:p>
            <w:pPr>
              <w:pStyle w:val="Compact"/>
            </w:pPr>
            <w:r>
              <w:t xml:space="preserve">Years 6+ (age 19+)</w:t>
            </w:r>
          </w:p>
        </w:tc>
      </w:tr>
      <w:tr>
        <w:tc>
          <w:tcPr/>
          <w:p>
            <w:pPr>
              <w:pStyle w:val="Compact"/>
            </w:pPr>
            <w:r>
              <w:rPr>
                <w:b/>
                <w:bCs/>
              </w:rPr>
              <w:t xml:space="preserve">Volume at age 15–16 (per SD)</w:t>
            </w:r>
          </w:p>
        </w:tc>
        <w:tc>
          <w:tcPr/>
          <w:p>
            <w:pPr>
              <w:pStyle w:val="Compact"/>
            </w:pPr>
            <w:r>
              <w:rPr>
                <w:b/>
                <w:bCs/>
              </w:rPr>
              <w:t xml:space="preserve">0.14 [0.11, 0.16]</w:t>
            </w:r>
          </w:p>
        </w:tc>
        <w:tc>
          <w:tcPr/>
          <w:p>
            <w:pPr>
              <w:pStyle w:val="Compact"/>
            </w:pPr>
            <w:r>
              <w:rPr>
                <w:b/>
                <w:bCs/>
              </w:rPr>
              <w:t xml:space="preserve">0.69 [0.60, 0.79]</w:t>
            </w:r>
          </w:p>
        </w:tc>
        <w:tc>
          <w:tcPr/>
          <w:p>
            <w:pPr>
              <w:pStyle w:val="Compact"/>
            </w:pPr>
            <w:r>
              <w:t xml:space="preserve">0.96 [0.77, 1.19]</w:t>
            </w:r>
          </w:p>
        </w:tc>
      </w:tr>
      <w:tr>
        <w:tc>
          <w:tcPr/>
          <w:p>
            <w:pPr>
              <w:pStyle w:val="Compact"/>
            </w:pPr>
            <w:r>
              <w:t xml:space="preserve">Championship types (count)</w:t>
            </w:r>
          </w:p>
        </w:tc>
        <w:tc>
          <w:tcPr/>
          <w:p>
            <w:pPr>
              <w:pStyle w:val="Compact"/>
            </w:pPr>
            <w:r>
              <w:t xml:space="preserve">0.61 [0.55, 0.69]</w:t>
            </w:r>
          </w:p>
        </w:tc>
        <w:tc>
          <w:tcPr/>
          <w:p>
            <w:pPr>
              <w:pStyle w:val="Compact"/>
            </w:pPr>
            <w:r>
              <w:t xml:space="preserve">0.88 [0.79, 0.99]</w:t>
            </w:r>
          </w:p>
        </w:tc>
        <w:tc>
          <w:tcPr/>
          <w:p>
            <w:pPr>
              <w:pStyle w:val="Compact"/>
            </w:pPr>
            <w:r>
              <w:t xml:space="preserve">0.97 [0.78, 1.21]</w:t>
            </w:r>
          </w:p>
        </w:tc>
      </w:tr>
      <w:tr>
        <w:tc>
          <w:tcPr/>
          <w:p>
            <w:pPr>
              <w:pStyle w:val="Compact"/>
            </w:pPr>
            <w:r>
              <w:t xml:space="preserve">Tyrving (z)</w:t>
            </w:r>
          </w:p>
        </w:tc>
        <w:tc>
          <w:tcPr/>
          <w:p>
            <w:pPr>
              <w:pStyle w:val="Compact"/>
            </w:pPr>
            <w:r>
              <w:t xml:space="preserve">1.07 [0.99, 1.15]</w:t>
            </w:r>
          </w:p>
        </w:tc>
        <w:tc>
          <w:tcPr/>
          <w:p>
            <w:pPr>
              <w:pStyle w:val="Compact"/>
            </w:pPr>
            <w:r>
              <w:t xml:space="preserve">0.92 [0.84, 1.01]</w:t>
            </w:r>
          </w:p>
        </w:tc>
        <w:tc>
          <w:tcPr/>
          <w:p>
            <w:pPr>
              <w:pStyle w:val="Compact"/>
            </w:pPr>
            <w:r>
              <w:t xml:space="preserve">0.94 [0.78, 1.13]</w:t>
            </w:r>
          </w:p>
        </w:tc>
      </w:tr>
      <w:tr>
        <w:tc>
          <w:tcPr/>
          <w:p>
            <w:pPr>
              <w:pStyle w:val="Compact"/>
            </w:pPr>
            <w:r>
              <w:t xml:space="preserve">HHI early (z)</w:t>
            </w:r>
          </w:p>
        </w:tc>
        <w:tc>
          <w:tcPr/>
          <w:p>
            <w:pPr>
              <w:pStyle w:val="Compact"/>
            </w:pPr>
            <w:r>
              <w:t xml:space="preserve">0.97 [0.91, 1.05]</w:t>
            </w:r>
          </w:p>
        </w:tc>
        <w:tc>
          <w:tcPr/>
          <w:p>
            <w:pPr>
              <w:pStyle w:val="Compact"/>
            </w:pPr>
            <w:r>
              <w:t xml:space="preserve">0.93 [0.85, 1.02]</w:t>
            </w:r>
          </w:p>
        </w:tc>
        <w:tc>
          <w:tcPr/>
          <w:p>
            <w:pPr>
              <w:pStyle w:val="Compact"/>
            </w:pPr>
            <w:r>
              <w:t xml:space="preserve">1.02 [0.85, 1.21]</w:t>
            </w:r>
          </w:p>
        </w:tc>
      </w:tr>
      <w:tr>
        <w:tc>
          <w:tcPr/>
          <w:p>
            <w:pPr>
              <w:pStyle w:val="Compact"/>
            </w:pPr>
            <w:r>
              <w:t xml:space="preserve">Female</w:t>
            </w:r>
          </w:p>
        </w:tc>
        <w:tc>
          <w:tcPr/>
          <w:p>
            <w:pPr>
              <w:pStyle w:val="Compact"/>
            </w:pPr>
            <w:r>
              <w:t xml:space="preserve">1.16 [1.02, 1.31]</w:t>
            </w:r>
          </w:p>
        </w:tc>
        <w:tc>
          <w:tcPr/>
          <w:p>
            <w:pPr>
              <w:pStyle w:val="Compact"/>
            </w:pPr>
            <w:r>
              <w:t xml:space="preserve">1.06 [0.91, 1.23]</w:t>
            </w:r>
          </w:p>
        </w:tc>
        <w:tc>
          <w:tcPr/>
          <w:p>
            <w:pPr>
              <w:pStyle w:val="Compact"/>
            </w:pPr>
            <w:r>
              <w:t xml:space="preserve">1.09 [0.85, 1.39]</w:t>
            </w:r>
          </w:p>
        </w:tc>
      </w:tr>
      <w:tr>
        <w:tc>
          <w:tcPr/>
          <w:p>
            <w:pPr>
              <w:pStyle w:val="Compact"/>
            </w:pPr>
            <w:r>
              <w:t xml:space="preserve">n at risk in interval</w:t>
            </w:r>
          </w:p>
        </w:tc>
        <w:tc>
          <w:tcPr/>
          <w:p>
            <w:pPr>
              <w:pStyle w:val="Compact"/>
            </w:pPr>
            <w:r>
              <w:t xml:space="preserve">1,704</w:t>
            </w:r>
          </w:p>
        </w:tc>
        <w:tc>
          <w:tcPr/>
          <w:p>
            <w:pPr>
              <w:pStyle w:val="Compact"/>
            </w:pPr>
            <w:r>
              <w:t xml:space="preserve">669</w:t>
            </w:r>
          </w:p>
        </w:tc>
        <w:tc>
          <w:tcPr/>
          <w:p>
            <w:pPr>
              <w:pStyle w:val="Compact"/>
            </w:pPr>
            <w:r>
              <w:t xml:space="preserve">270</w:t>
            </w:r>
          </w:p>
        </w:tc>
      </w:tr>
      <w:tr>
        <w:tc>
          <w:tcPr/>
          <w:p>
            <w:pPr>
              <w:pStyle w:val="Compact"/>
            </w:pPr>
            <w:r>
              <w:t xml:space="preserve">events in interval</w:t>
            </w:r>
          </w:p>
        </w:tc>
        <w:tc>
          <w:tcPr/>
          <w:p>
            <w:pPr>
              <w:pStyle w:val="Compact"/>
            </w:pPr>
            <w:r>
              <w:t xml:space="preserve">1,035</w:t>
            </w:r>
          </w:p>
        </w:tc>
        <w:tc>
          <w:tcPr/>
          <w:p>
            <w:pPr>
              <w:pStyle w:val="Compact"/>
            </w:pPr>
            <w:r>
              <w:t xml:space="preserve">399</w:t>
            </w:r>
          </w:p>
        </w:tc>
        <w:tc>
          <w:tcPr/>
          <w:p>
            <w:pPr>
              <w:pStyle w:val="Compact"/>
            </w:pPr>
            <w:r>
              <w:t xml:space="preserve">136</w:t>
            </w:r>
          </w:p>
        </w:tc>
      </w:tr>
      <w:tr>
        <w:tc>
          <w:tcPr/>
          <w:p>
            <w:pPr>
              <w:pStyle w:val="Compact"/>
            </w:pPr>
            <w:r>
              <w:t xml:space="preserve">C-index</w:t>
            </w:r>
          </w:p>
        </w:tc>
        <w:tc>
          <w:tcPr/>
          <w:p>
            <w:pPr>
              <w:pStyle w:val="Compact"/>
            </w:pPr>
            <w:r>
              <w:t xml:space="preserve">0.894</w:t>
            </w:r>
          </w:p>
        </w:tc>
        <w:tc>
          <w:tcPr/>
          <w:p>
            <w:pPr>
              <w:pStyle w:val="Compact"/>
            </w:pPr>
            <w:r>
              <w:t xml:space="preserve">0.661</w:t>
            </w:r>
          </w:p>
        </w:tc>
        <w:tc>
          <w:tcPr/>
          <w:p>
            <w:pPr>
              <w:pStyle w:val="Compact"/>
            </w:pPr>
            <w:r>
              <w:t xml:space="preserve">0.582</w:t>
            </w:r>
          </w:p>
        </w:tc>
      </w:tr>
    </w:tbl>
    <w:p>
      <w:pPr>
        <w:pStyle w:val="BodyText"/>
      </w:pPr>
      <w:r>
        <w:rPr>
          <w:i/>
          <w:iCs/>
        </w:rPr>
        <w:t xml:space="preserve">Note.</w:t>
      </w:r>
      <w:r>
        <w:t xml:space="preserve"> </w:t>
      </w:r>
      <w:r>
        <w:t xml:space="preserve">The dominant predictor — competition volume at age 15–16 — is most protective in the first three years after baseline (when most dropout occurs), moderately protective in years 3–6 (the junior transition), and indistinguishable from null in years 6+ (athletes who have survived the junior transition).</w:t>
      </w:r>
    </w:p>
    <w:p>
      <w:r>
        <w:pict>
          <v:rect style="width:0;height:1.5pt" o:hralign="center" o:hrstd="t" o:hr="t"/>
        </w:pict>
      </w:r>
    </w:p>
    <w:bookmarkEnd w:id="59"/>
    <w:bookmarkStart w:id="60" w:name="robustness-to-outcome-definition"/>
    <w:p>
      <w:pPr>
        <w:pStyle w:val="Heading2"/>
      </w:pPr>
      <w:r>
        <w:t xml:space="preserve">3.7 Robustness to outcome definition</w:t>
      </w:r>
    </w:p>
    <w:p>
      <w:pPr>
        <w:pStyle w:val="FirstParagraph"/>
      </w:pPr>
      <w:r>
        <w:t xml:space="preserve">To assess sensitivity to how senior retention is operationalized, we re-estimated the central effect using three outcome definitions: (A) ≥1 senior-age result, (B) ≥2 results in any senior-age year (the primary outcome), and (C) ≥2 results in each of two distinct senior-age years (Supplementary Table S9). The odds ratio for vol_milepael in a logistic-regression analogue of the full model was 2.79 (definition A), 3.08 (B), and 2.94 (C); AUC was 0.83, 0.86, and 0.87 respectively. The choice of outcome threshold has essentially no effect on the substantive finding.</w:t>
      </w:r>
    </w:p>
    <w:bookmarkEnd w:id="60"/>
    <w:bookmarkStart w:id="61" w:name="Xfc1cccc5af59c8f6274fc509340276167c12e66"/>
    <w:p>
      <w:pPr>
        <w:pStyle w:val="Heading2"/>
      </w:pPr>
      <w:r>
        <w:t xml:space="preserve">3.8 Calibration and practical early-warning thresholds</w:t>
      </w:r>
    </w:p>
    <w:p>
      <w:pPr>
        <w:pStyle w:val="FirstParagraph"/>
      </w:pPr>
      <w:r>
        <w:t xml:space="preserve">Table 6 presents calibration metrics for using milestone-window competition volume as a behavioral early-warning indicator. With a threshold of vol_milepael &lt; 10 meets (flagging 53.7% of the cohort), the positive predictive value (PPV) is 0.97 — among flagged athletes, 97% subsequently dropped out before senior age. The negative predictive value is 0.32, sensitivity 0.63, and specificity 0.91. Lower thresholds (vol &lt; 1) trade sensitivity for specificity (PPV = 0.99, sensitivity = 0.33, 27.7% flagged); higher thresholds (vol &lt; 20) trade specificity for sensitivity (PPV = 0.95, sensitivity = 0.77, 67.1% flagged). The high PPVs partly reflect the high dropout base rate in this population (84%); an unsophisticated rule</w:t>
      </w:r>
      <w:r>
        <w:t xml:space="preserve"> </w:t>
      </w:r>
      <w:r>
        <w:t xml:space="preserve">“predict that everyone drops out”</w:t>
      </w:r>
      <w:r>
        <w:t xml:space="preserve"> </w:t>
      </w:r>
      <w:r>
        <w:t xml:space="preserve">would already achieve PPV = 0.84. The behavioral threshold therefore improves precision by 11–15 percentage points over base-rate prediction, while also providing graduated sensitivity that base-rate prediction cannot. The decile-based calibration plot for the full Cox model (Supplementary Figure S1) shows close agreement between predicted and observed retention probabilities across the distribution.</w:t>
      </w:r>
    </w:p>
    <w:bookmarkEnd w:id="61"/>
    <w:bookmarkStart w:id="62" w:name="X1617fc3b22b5b5cc20d6b4ed269a2b13f074c0a"/>
    <w:p>
      <w:pPr>
        <w:pStyle w:val="Heading2"/>
      </w:pPr>
      <w:r>
        <w:t xml:space="preserve">Table 6. Calibration of milestone-window volume as a behavioral early-warning indicator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Threshold (athletes flagged if vol &lt; )</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r>
      <w:tr>
        <w:tc>
          <w:tcPr/>
          <w:p>
            <w:pPr>
              <w:pStyle w:val="Compact"/>
            </w:pPr>
            <w:r>
              <w:t xml:space="preserve">1 meet (vol = 0)</w:t>
            </w:r>
          </w:p>
        </w:tc>
        <w:tc>
          <w:tcPr/>
          <w:p>
            <w:pPr>
              <w:pStyle w:val="Compact"/>
            </w:pPr>
            <w:r>
              <w:t xml:space="preserve">27.7</w:t>
            </w:r>
          </w:p>
        </w:tc>
        <w:tc>
          <w:tcPr/>
          <w:p>
            <w:pPr>
              <w:pStyle w:val="Compact"/>
            </w:pPr>
            <w:r>
              <w:t xml:space="preserve">0.33</w:t>
            </w:r>
          </w:p>
        </w:tc>
        <w:tc>
          <w:tcPr/>
          <w:p>
            <w:pPr>
              <w:pStyle w:val="Compact"/>
            </w:pPr>
            <w:r>
              <w:t xml:space="preserve">0.99</w:t>
            </w:r>
          </w:p>
        </w:tc>
        <w:tc>
          <w:tcPr/>
          <w:p>
            <w:pPr>
              <w:pStyle w:val="Compact"/>
            </w:pPr>
            <w:r>
              <w:rPr>
                <w:b/>
                <w:bCs/>
              </w:rPr>
              <w:t xml:space="preserve">0.99</w:t>
            </w:r>
          </w:p>
        </w:tc>
        <w:tc>
          <w:tcPr/>
          <w:p>
            <w:pPr>
              <w:pStyle w:val="Compact"/>
            </w:pPr>
            <w:r>
              <w:t xml:space="preserve">0.22</w:t>
            </w:r>
          </w:p>
        </w:tc>
      </w:tr>
      <w:tr>
        <w:tc>
          <w:tcPr/>
          <w:p>
            <w:pPr>
              <w:pStyle w:val="Compact"/>
            </w:pPr>
            <w:r>
              <w:t xml:space="preserve">5 meets</w:t>
            </w:r>
          </w:p>
        </w:tc>
        <w:tc>
          <w:tcPr/>
          <w:p>
            <w:pPr>
              <w:pStyle w:val="Compact"/>
            </w:pPr>
            <w:r>
              <w:t xml:space="preserve">42.2</w:t>
            </w:r>
          </w:p>
        </w:tc>
        <w:tc>
          <w:tcPr/>
          <w:p>
            <w:pPr>
              <w:pStyle w:val="Compact"/>
            </w:pPr>
            <w:r>
              <w:t xml:space="preserve">0.49</w:t>
            </w:r>
          </w:p>
        </w:tc>
        <w:tc>
          <w:tcPr/>
          <w:p>
            <w:pPr>
              <w:pStyle w:val="Compact"/>
            </w:pPr>
            <w:r>
              <w:t xml:space="preserve">0.94</w:t>
            </w:r>
          </w:p>
        </w:tc>
        <w:tc>
          <w:tcPr/>
          <w:p>
            <w:pPr>
              <w:pStyle w:val="Compact"/>
            </w:pPr>
            <w:r>
              <w:rPr>
                <w:b/>
                <w:bCs/>
              </w:rPr>
              <w:t xml:space="preserve">0.98</w:t>
            </w:r>
          </w:p>
        </w:tc>
        <w:tc>
          <w:tcPr/>
          <w:p>
            <w:pPr>
              <w:pStyle w:val="Compact"/>
            </w:pPr>
            <w:r>
              <w:t xml:space="preserve">0.27</w:t>
            </w:r>
          </w:p>
        </w:tc>
      </w:tr>
      <w:tr>
        <w:tc>
          <w:tcPr/>
          <w:p>
            <w:pPr>
              <w:pStyle w:val="Compact"/>
            </w:pPr>
            <w:r>
              <w:t xml:space="preserve">10 meets</w:t>
            </w:r>
          </w:p>
        </w:tc>
        <w:tc>
          <w:tcPr/>
          <w:p>
            <w:pPr>
              <w:pStyle w:val="Compact"/>
            </w:pPr>
            <w:r>
              <w:t xml:space="preserve">53.7</w:t>
            </w:r>
          </w:p>
        </w:tc>
        <w:tc>
          <w:tcPr/>
          <w:p>
            <w:pPr>
              <w:pStyle w:val="Compact"/>
            </w:pPr>
            <w:r>
              <w:t xml:space="preserve">0.63</w:t>
            </w:r>
          </w:p>
        </w:tc>
        <w:tc>
          <w:tcPr/>
          <w:p>
            <w:pPr>
              <w:pStyle w:val="Compact"/>
            </w:pPr>
            <w:r>
              <w:t xml:space="preserve">0.91</w:t>
            </w:r>
          </w:p>
        </w:tc>
        <w:tc>
          <w:tcPr/>
          <w:p>
            <w:pPr>
              <w:pStyle w:val="Compact"/>
            </w:pPr>
            <w:r>
              <w:rPr>
                <w:b/>
                <w:bCs/>
              </w:rPr>
              <w:t xml:space="preserve">0.97</w:t>
            </w:r>
          </w:p>
        </w:tc>
        <w:tc>
          <w:tcPr/>
          <w:p>
            <w:pPr>
              <w:pStyle w:val="Compact"/>
            </w:pPr>
            <w:r>
              <w:t xml:space="preserve">0.32</w:t>
            </w:r>
          </w:p>
        </w:tc>
      </w:tr>
      <w:tr>
        <w:tc>
          <w:tcPr/>
          <w:p>
            <w:pPr>
              <w:pStyle w:val="Compact"/>
            </w:pPr>
            <w:r>
              <w:t xml:space="preserve">15 meets</w:t>
            </w:r>
          </w:p>
        </w:tc>
        <w:tc>
          <w:tcPr/>
          <w:p>
            <w:pPr>
              <w:pStyle w:val="Compact"/>
            </w:pPr>
            <w:r>
              <w:t xml:space="preserve">60.2</w:t>
            </w:r>
          </w:p>
        </w:tc>
        <w:tc>
          <w:tcPr/>
          <w:p>
            <w:pPr>
              <w:pStyle w:val="Compact"/>
            </w:pPr>
            <w:r>
              <w:t xml:space="preserve">0.69</w:t>
            </w:r>
          </w:p>
        </w:tc>
        <w:tc>
          <w:tcPr/>
          <w:p>
            <w:pPr>
              <w:pStyle w:val="Compact"/>
            </w:pPr>
            <w:r>
              <w:t xml:space="preserve">0.87</w:t>
            </w:r>
          </w:p>
        </w:tc>
        <w:tc>
          <w:tcPr/>
          <w:p>
            <w:pPr>
              <w:pStyle w:val="Compact"/>
            </w:pPr>
            <w:r>
              <w:t xml:space="preserve">0.96</w:t>
            </w:r>
          </w:p>
        </w:tc>
        <w:tc>
          <w:tcPr/>
          <w:p>
            <w:pPr>
              <w:pStyle w:val="Compact"/>
            </w:pPr>
            <w:r>
              <w:t xml:space="preserve">0.36</w:t>
            </w:r>
          </w:p>
        </w:tc>
      </w:tr>
      <w:tr>
        <w:tc>
          <w:tcPr/>
          <w:p>
            <w:pPr>
              <w:pStyle w:val="Compact"/>
            </w:pPr>
            <w:r>
              <w:t xml:space="preserve">20 meets</w:t>
            </w:r>
          </w:p>
        </w:tc>
        <w:tc>
          <w:tcPr/>
          <w:p>
            <w:pPr>
              <w:pStyle w:val="Compact"/>
            </w:pPr>
            <w:r>
              <w:t xml:space="preserve">67.1</w:t>
            </w:r>
          </w:p>
        </w:tc>
        <w:tc>
          <w:tcPr/>
          <w:p>
            <w:pPr>
              <w:pStyle w:val="Compact"/>
            </w:pPr>
            <w:r>
              <w:t xml:space="preserve">0.77</w:t>
            </w:r>
          </w:p>
        </w:tc>
        <w:tc>
          <w:tcPr/>
          <w:p>
            <w:pPr>
              <w:pStyle w:val="Compact"/>
            </w:pPr>
            <w:r>
              <w:t xml:space="preserve">0.81</w:t>
            </w:r>
          </w:p>
        </w:tc>
        <w:tc>
          <w:tcPr/>
          <w:p>
            <w:pPr>
              <w:pStyle w:val="Compact"/>
            </w:pPr>
            <w:r>
              <w:t xml:space="preserve">0.95</w:t>
            </w:r>
          </w:p>
        </w:tc>
        <w:tc>
          <w:tcPr/>
          <w:p>
            <w:pPr>
              <w:pStyle w:val="Compact"/>
            </w:pPr>
            <w:r>
              <w:t xml:space="preserve">0.41</w:t>
            </w:r>
          </w:p>
        </w:tc>
      </w:tr>
    </w:tbl>
    <w:p>
      <w:pPr>
        <w:pStyle w:val="BodyText"/>
      </w:pPr>
      <w:r>
        <w:rPr>
          <w:i/>
          <w:iCs/>
        </w:rPr>
        <w:t xml:space="preserve">Note.</w:t>
      </w:r>
      <w:r>
        <w:t xml:space="preserve"> </w:t>
      </w:r>
      <w:r>
        <w:t xml:space="preserve">PPV (positive predictive value) is the proportion of flagged athletes who subsequently dropped out before senior age. Across all thresholds PPV ≥ 0.95, indicating that the rule</w:t>
      </w:r>
      <w:r>
        <w:t xml:space="preserve"> </w:t>
      </w:r>
      <w:r>
        <w:t xml:space="preserve">“flag athletes whose milestone-window volume is below threshold”</w:t>
      </w:r>
      <w:r>
        <w:t xml:space="preserve"> </w:t>
      </w:r>
      <w:r>
        <w:t xml:space="preserve">is consistently informative. The choice of threshold trades sensitivity for cohort coverage but does not change PPV materially.</w:t>
      </w:r>
    </w:p>
    <w:p>
      <w:r>
        <w:pict>
          <v:rect style="width:0;height:1.5pt" o:hralign="center" o:hrstd="t" o:hr="t"/>
        </w:pict>
      </w:r>
    </w:p>
    <w:bookmarkEnd w:id="62"/>
    <w:bookmarkStart w:id="63" w:name="Xed141f14e68d3ce645416f11af6434634380b4c"/>
    <w:p>
      <w:pPr>
        <w:pStyle w:val="Heading2"/>
      </w:pPr>
      <w:r>
        <w:t xml:space="preserve">3.9 Random forest variable importance (convergent evidence)</w:t>
      </w:r>
    </w:p>
    <w:p>
      <w:pPr>
        <w:pStyle w:val="FirstParagraph"/>
      </w:pPr>
      <w:r>
        <w:t xml:space="preserve">As a non-parametric convergent check, a random forest fit to predict senior retention identified volume-based features as the most important predictors (Supplementary Figure S2; Supplementary Table S12): the top six positions are all volume- or trajectory-based, with sex appearing near the bottom (importance 0.010). The pattern is consistent with the Cox findings and confirms that the ranking is not an artefact of linearity assumptions. Cross-validated AUCs for nested predictor subsets (Supplementary Table S8) show that a model using only competition-volume features at ages 13–16 achieves AUC = 0.82, essentially identical to the full 22-predictor model (AUC = 0.82) — performance and specialization information add nothing once volume is observed.</w:t>
      </w:r>
    </w:p>
    <w:bookmarkEnd w:id="63"/>
    <w:bookmarkStart w:id="64" w:name="cross-cohort-replication"/>
    <w:p>
      <w:pPr>
        <w:pStyle w:val="Heading2"/>
      </w:pPr>
      <w:r>
        <w:t xml:space="preserve">3.10 Cross-cohort replication</w:t>
      </w:r>
    </w:p>
    <w:p>
      <w:pPr>
        <w:pStyle w:val="FirstParagraph"/>
      </w:pPr>
      <w:r>
        <w:t xml:space="preserve">The full Cox model was re-estimated separately in each birth-year cohort (Table 7). The volume-at-milestone effect replicated in both cohorts at similar magnitude (Cohort A HR = 0.49 per SD, p &lt; .001; Cohort B HR = 0.36 per SD, p &lt; .001). Championship-types also replicated (Cohort A HR = 0.71, p &lt; .001; Cohort B HR = 0.77, p &lt; .001). The C-indices were similar (Cohort A 0.835; Cohort B 0.852). The sex coefficient differed between cohorts: elevated and significant in Cohort A (HR = 1.19, p = 0.006) but not in Cohort B (HR = 1.02, p = 0.83). HHI-early reached significance in Cohort B (HR = 0.88, p = 0.004) but not Cohort A.</w:t>
      </w:r>
    </w:p>
    <w:bookmarkEnd w:id="64"/>
    <w:bookmarkStart w:id="65" w:name="X1b567785133ca62f4b74fa1df86e694c66837dd"/>
    <w:p>
      <w:pPr>
        <w:pStyle w:val="Heading2"/>
      </w:pPr>
      <w:r>
        <w:t xml:space="preserve">Table 7. Cross-cohort replication: full Cox model fit separately in each birth cohort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c>
          <w:tcPr/>
          <w:p>
            <w:pPr>
              <w:pStyle w:val="Compact"/>
            </w:pPr>
            <w:r>
              <w:t xml:space="preserve">C-index</w:t>
            </w:r>
          </w:p>
        </w:tc>
      </w:tr>
      <w:tr>
        <w:tc>
          <w:tcPr/>
          <w:p>
            <w:pPr>
              <w:pStyle w:val="Compact"/>
            </w:pPr>
            <w:r>
              <w:t xml:space="preserve">1998–2000</w:t>
            </w:r>
          </w:p>
        </w:tc>
        <w:tc>
          <w:tcPr/>
          <w:p>
            <w:pPr>
              <w:pStyle w:val="Compact"/>
            </w:pPr>
            <w:r>
              <w:t xml:space="preserve">1,065</w:t>
            </w:r>
          </w:p>
        </w:tc>
        <w:tc>
          <w:tcPr/>
          <w:p>
            <w:pPr>
              <w:pStyle w:val="Compact"/>
            </w:pPr>
            <w:r>
              <w:t xml:space="preserve">Female</w:t>
            </w:r>
          </w:p>
        </w:tc>
        <w:tc>
          <w:tcPr/>
          <w:p>
            <w:pPr>
              <w:pStyle w:val="Compact"/>
            </w:pPr>
            <w:r>
              <w:t xml:space="preserve">1.19</w:t>
            </w:r>
          </w:p>
        </w:tc>
        <w:tc>
          <w:tcPr/>
          <w:p>
            <w:pPr>
              <w:pStyle w:val="Compact"/>
            </w:pPr>
            <w:r>
              <w:t xml:space="preserve">[1.05, 1.35]</w:t>
            </w:r>
          </w:p>
        </w:tc>
        <w:tc>
          <w:tcPr/>
          <w:p>
            <w:pPr>
              <w:pStyle w:val="Compact"/>
            </w:pPr>
            <w:r>
              <w:t xml:space="preserve">.006</w:t>
            </w:r>
          </w:p>
        </w:tc>
        <w:tc>
          <w:tcPr/>
          <w:p>
            <w:pPr>
              <w:pStyle w:val="Compact"/>
            </w:pPr>
            <w:r>
              <w:t xml:space="preserve">0.835</w:t>
            </w:r>
          </w:p>
        </w:tc>
      </w:tr>
      <w:tr>
        <w:tc>
          <w:tcPr/>
          <w:p>
            <w:pPr>
              <w:pStyle w:val="Compact"/>
            </w:pPr>
          </w:p>
        </w:tc>
        <w:tc>
          <w:tcPr/>
          <w:p>
            <w:pPr>
              <w:pStyle w:val="Compact"/>
            </w:pPr>
          </w:p>
        </w:tc>
        <w:tc>
          <w:tcPr/>
          <w:p>
            <w:pPr>
              <w:pStyle w:val="Compact"/>
            </w:pPr>
            <w:r>
              <w:t xml:space="preserve">Tyrving (z)</w:t>
            </w:r>
          </w:p>
        </w:tc>
        <w:tc>
          <w:tcPr/>
          <w:p>
            <w:pPr>
              <w:pStyle w:val="Compact"/>
            </w:pPr>
            <w:r>
              <w:t xml:space="preserve">1.04</w:t>
            </w:r>
          </w:p>
        </w:tc>
        <w:tc>
          <w:tcPr/>
          <w:p>
            <w:pPr>
              <w:pStyle w:val="Compact"/>
            </w:pPr>
            <w:r>
              <w:t xml:space="preserve">[0.97, 1.10]</w:t>
            </w:r>
          </w:p>
        </w:tc>
        <w:tc>
          <w:tcPr/>
          <w:p>
            <w:pPr>
              <w:pStyle w:val="Compact"/>
            </w:pPr>
            <w:r>
              <w:t xml:space="preserve">.275</w:t>
            </w:r>
          </w:p>
        </w:tc>
        <w:tc>
          <w:tcPr/>
          <w:p>
            <w:pPr>
              <w:pStyle w:val="Compact"/>
            </w:pPr>
          </w:p>
        </w:tc>
      </w:tr>
      <w:tr>
        <w:tc>
          <w:tcPr/>
          <w:p>
            <w:pPr>
              <w:pStyle w:val="Compact"/>
            </w:pPr>
          </w:p>
        </w:tc>
        <w:tc>
          <w:tcPr/>
          <w:p>
            <w:pPr>
              <w:pStyle w:val="Compact"/>
            </w:pPr>
          </w:p>
        </w:tc>
        <w:tc>
          <w:tcPr/>
          <w:p>
            <w:pPr>
              <w:pStyle w:val="Compact"/>
            </w:pPr>
            <w:r>
              <w:t xml:space="preserve">HHI early (z)</w:t>
            </w:r>
          </w:p>
        </w:tc>
        <w:tc>
          <w:tcPr/>
          <w:p>
            <w:pPr>
              <w:pStyle w:val="Compact"/>
            </w:pPr>
            <w:r>
              <w:t xml:space="preserve">1.00</w:t>
            </w:r>
          </w:p>
        </w:tc>
        <w:tc>
          <w:tcPr/>
          <w:p>
            <w:pPr>
              <w:pStyle w:val="Compact"/>
            </w:pPr>
            <w:r>
              <w:t xml:space="preserve">[0.94, 1.07]</w:t>
            </w:r>
          </w:p>
        </w:tc>
        <w:tc>
          <w:tcPr/>
          <w:p>
            <w:pPr>
              <w:pStyle w:val="Compact"/>
            </w:pPr>
            <w:r>
              <w:t xml:space="preserve">.966</w:t>
            </w:r>
          </w:p>
        </w:tc>
        <w:tc>
          <w:tcPr/>
          <w:p>
            <w:pPr>
              <w:pStyle w:val="Compact"/>
            </w:pPr>
          </w:p>
        </w:tc>
      </w:tr>
      <w:tr>
        <w:tc>
          <w:tcPr/>
          <w:p>
            <w:pPr>
              <w:pStyle w:val="Compact"/>
            </w:pPr>
          </w:p>
        </w:tc>
        <w:tc>
          <w:tcPr/>
          <w:p>
            <w:pPr>
              <w:pStyle w:val="Compact"/>
            </w:pPr>
          </w:p>
        </w:tc>
        <w:tc>
          <w:tcPr/>
          <w:p>
            <w:pPr>
              <w:pStyle w:val="Compact"/>
            </w:pPr>
            <w:r>
              <w:rPr>
                <w:b/>
                <w:bCs/>
              </w:rPr>
              <w:t xml:space="preserve">Volume at age 15–16 (z)</w:t>
            </w:r>
          </w:p>
        </w:tc>
        <w:tc>
          <w:tcPr/>
          <w:p>
            <w:pPr>
              <w:pStyle w:val="Compact"/>
            </w:pPr>
            <w:r>
              <w:rPr>
                <w:b/>
                <w:bCs/>
              </w:rPr>
              <w:t xml:space="preserve">0.49</w:t>
            </w:r>
          </w:p>
        </w:tc>
        <w:tc>
          <w:tcPr/>
          <w:p>
            <w:pPr>
              <w:pStyle w:val="Compact"/>
            </w:pPr>
            <w:r>
              <w:rPr>
                <w:b/>
                <w:bCs/>
              </w:rPr>
              <w:t xml:space="preserve">[0.44, 0.55]</w:t>
            </w:r>
          </w:p>
        </w:tc>
        <w:tc>
          <w:tcPr/>
          <w:p>
            <w:pPr>
              <w:pStyle w:val="Compact"/>
            </w:pPr>
            <w:r>
              <w:rPr>
                <w:b/>
                <w:bCs/>
              </w:rPr>
              <w:t xml:space="preserve">&lt; .001</w:t>
            </w:r>
          </w:p>
        </w:tc>
        <w:tc>
          <w:tcPr/>
          <w:p>
            <w:pPr>
              <w:pStyle w:val="Compact"/>
            </w:pP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0.71</w:t>
            </w:r>
          </w:p>
        </w:tc>
        <w:tc>
          <w:tcPr/>
          <w:p>
            <w:pPr>
              <w:pStyle w:val="Compact"/>
            </w:pPr>
            <w:r>
              <w:t xml:space="preserve">[0.65, 0.78]</w:t>
            </w:r>
          </w:p>
        </w:tc>
        <w:tc>
          <w:tcPr/>
          <w:p>
            <w:pPr>
              <w:pStyle w:val="Compact"/>
            </w:pPr>
            <w:r>
              <w:t xml:space="preserve">&lt; .001</w:t>
            </w:r>
          </w:p>
        </w:tc>
        <w:tc>
          <w:tcPr/>
          <w:p>
            <w:pPr>
              <w:pStyle w:val="Compact"/>
            </w:pPr>
          </w:p>
        </w:tc>
      </w:tr>
      <w:tr>
        <w:tc>
          <w:tcPr/>
          <w:p>
            <w:pPr>
              <w:pStyle w:val="Compact"/>
            </w:pPr>
            <w:r>
              <w:t xml:space="preserve">2001–2002</w:t>
            </w:r>
          </w:p>
        </w:tc>
        <w:tc>
          <w:tcPr/>
          <w:p>
            <w:pPr>
              <w:pStyle w:val="Compact"/>
            </w:pPr>
            <w:r>
              <w:t xml:space="preserve">639</w:t>
            </w:r>
          </w:p>
        </w:tc>
        <w:tc>
          <w:tcPr/>
          <w:p>
            <w:pPr>
              <w:pStyle w:val="Compact"/>
            </w:pPr>
            <w:r>
              <w:t xml:space="preserve">Female</w:t>
            </w:r>
          </w:p>
        </w:tc>
        <w:tc>
          <w:tcPr/>
          <w:p>
            <w:pPr>
              <w:pStyle w:val="Compact"/>
            </w:pPr>
            <w:r>
              <w:t xml:space="preserve">1.02</w:t>
            </w:r>
          </w:p>
        </w:tc>
        <w:tc>
          <w:tcPr/>
          <w:p>
            <w:pPr>
              <w:pStyle w:val="Compact"/>
            </w:pPr>
            <w:r>
              <w:t xml:space="preserve">[0.86, 1.21]</w:t>
            </w:r>
          </w:p>
        </w:tc>
        <w:tc>
          <w:tcPr/>
          <w:p>
            <w:pPr>
              <w:pStyle w:val="Compact"/>
            </w:pPr>
            <w:r>
              <w:t xml:space="preserve">.833</w:t>
            </w:r>
          </w:p>
        </w:tc>
        <w:tc>
          <w:tcPr/>
          <w:p>
            <w:pPr>
              <w:pStyle w:val="Compact"/>
            </w:pPr>
            <w:r>
              <w:t xml:space="preserve">0.852</w:t>
            </w:r>
          </w:p>
        </w:tc>
      </w:tr>
      <w:tr>
        <w:tc>
          <w:tcPr/>
          <w:p>
            <w:pPr>
              <w:pStyle w:val="Compact"/>
            </w:pPr>
          </w:p>
        </w:tc>
        <w:tc>
          <w:tcPr/>
          <w:p>
            <w:pPr>
              <w:pStyle w:val="Compact"/>
            </w:pPr>
          </w:p>
        </w:tc>
        <w:tc>
          <w:tcPr/>
          <w:p>
            <w:pPr>
              <w:pStyle w:val="Compact"/>
            </w:pPr>
            <w:r>
              <w:t xml:space="preserve">Tyrving (z)</w:t>
            </w:r>
          </w:p>
        </w:tc>
        <w:tc>
          <w:tcPr/>
          <w:p>
            <w:pPr>
              <w:pStyle w:val="Compact"/>
            </w:pPr>
            <w:r>
              <w:t xml:space="preserve">1.09</w:t>
            </w:r>
          </w:p>
        </w:tc>
        <w:tc>
          <w:tcPr/>
          <w:p>
            <w:pPr>
              <w:pStyle w:val="Compact"/>
            </w:pPr>
            <w:r>
              <w:t xml:space="preserve">[1.00, 1.19]</w:t>
            </w:r>
          </w:p>
        </w:tc>
        <w:tc>
          <w:tcPr/>
          <w:p>
            <w:pPr>
              <w:pStyle w:val="Compact"/>
            </w:pPr>
            <w:r>
              <w:t xml:space="preserve">.047</w:t>
            </w:r>
          </w:p>
        </w:tc>
        <w:tc>
          <w:tcPr/>
          <w:p>
            <w:pPr>
              <w:pStyle w:val="Compact"/>
            </w:pPr>
          </w:p>
        </w:tc>
      </w:tr>
      <w:tr>
        <w:tc>
          <w:tcPr/>
          <w:p>
            <w:pPr>
              <w:pStyle w:val="Compact"/>
            </w:pPr>
          </w:p>
        </w:tc>
        <w:tc>
          <w:tcPr/>
          <w:p>
            <w:pPr>
              <w:pStyle w:val="Compact"/>
            </w:pPr>
          </w:p>
        </w:tc>
        <w:tc>
          <w:tcPr/>
          <w:p>
            <w:pPr>
              <w:pStyle w:val="Compact"/>
            </w:pPr>
            <w:r>
              <w:t xml:space="preserve">HHI early (z)</w:t>
            </w:r>
          </w:p>
        </w:tc>
        <w:tc>
          <w:tcPr/>
          <w:p>
            <w:pPr>
              <w:pStyle w:val="Compact"/>
            </w:pPr>
            <w:r>
              <w:t xml:space="preserve">0.88</w:t>
            </w:r>
          </w:p>
        </w:tc>
        <w:tc>
          <w:tcPr/>
          <w:p>
            <w:pPr>
              <w:pStyle w:val="Compact"/>
            </w:pPr>
            <w:r>
              <w:t xml:space="preserve">[0.80, 0.96]</w:t>
            </w:r>
          </w:p>
        </w:tc>
        <w:tc>
          <w:tcPr/>
          <w:p>
            <w:pPr>
              <w:pStyle w:val="Compact"/>
            </w:pPr>
            <w:r>
              <w:t xml:space="preserve">.004</w:t>
            </w:r>
          </w:p>
        </w:tc>
        <w:tc>
          <w:tcPr/>
          <w:p>
            <w:pPr>
              <w:pStyle w:val="Compact"/>
            </w:pPr>
          </w:p>
        </w:tc>
      </w:tr>
      <w:tr>
        <w:tc>
          <w:tcPr/>
          <w:p>
            <w:pPr>
              <w:pStyle w:val="Compact"/>
            </w:pPr>
          </w:p>
        </w:tc>
        <w:tc>
          <w:tcPr/>
          <w:p>
            <w:pPr>
              <w:pStyle w:val="Compact"/>
            </w:pPr>
          </w:p>
        </w:tc>
        <w:tc>
          <w:tcPr/>
          <w:p>
            <w:pPr>
              <w:pStyle w:val="Compact"/>
            </w:pPr>
            <w:r>
              <w:rPr>
                <w:b/>
                <w:bCs/>
              </w:rPr>
              <w:t xml:space="preserve">Volume at age 15–16 (z)</w:t>
            </w:r>
          </w:p>
        </w:tc>
        <w:tc>
          <w:tcPr/>
          <w:p>
            <w:pPr>
              <w:pStyle w:val="Compact"/>
            </w:pPr>
            <w:r>
              <w:rPr>
                <w:b/>
                <w:bCs/>
              </w:rPr>
              <w:t xml:space="preserve">0.36</w:t>
            </w:r>
          </w:p>
        </w:tc>
        <w:tc>
          <w:tcPr/>
          <w:p>
            <w:pPr>
              <w:pStyle w:val="Compact"/>
            </w:pPr>
            <w:r>
              <w:rPr>
                <w:b/>
                <w:bCs/>
              </w:rPr>
              <w:t xml:space="preserve">[0.31, 0.43]</w:t>
            </w:r>
          </w:p>
        </w:tc>
        <w:tc>
          <w:tcPr/>
          <w:p>
            <w:pPr>
              <w:pStyle w:val="Compact"/>
            </w:pPr>
            <w:r>
              <w:rPr>
                <w:b/>
                <w:bCs/>
              </w:rPr>
              <w:t xml:space="preserve">&lt; .001</w:t>
            </w:r>
          </w:p>
        </w:tc>
        <w:tc>
          <w:tcPr/>
          <w:p>
            <w:pPr>
              <w:pStyle w:val="Compact"/>
            </w:pP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0.77</w:t>
            </w:r>
          </w:p>
        </w:tc>
        <w:tc>
          <w:tcPr/>
          <w:p>
            <w:pPr>
              <w:pStyle w:val="Compact"/>
            </w:pPr>
            <w:r>
              <w:t xml:space="preserve">[0.68, 0.87]</w:t>
            </w:r>
          </w:p>
        </w:tc>
        <w:tc>
          <w:tcPr/>
          <w:p>
            <w:pPr>
              <w:pStyle w:val="Compact"/>
            </w:pPr>
            <w:r>
              <w:t xml:space="preserve">&lt; .001</w:t>
            </w:r>
          </w:p>
        </w:tc>
        <w:tc>
          <w:tcPr/>
          <w:p>
            <w:pPr>
              <w:pStyle w:val="Compact"/>
            </w:pPr>
          </w:p>
        </w:tc>
      </w:tr>
    </w:tbl>
    <w:p>
      <w:pPr>
        <w:pStyle w:val="BodyText"/>
      </w:pPr>
      <w:r>
        <w:rPr>
          <w:i/>
          <w:iCs/>
        </w:rPr>
        <w:t xml:space="preserve">Note.</w:t>
      </w:r>
      <w:r>
        <w:t xml:space="preserve"> </w:t>
      </w:r>
      <w:r>
        <w:t xml:space="preserve">The milestone-window volume effect replicates in both cohorts at similar magnitude and direction. The cohort difference in the sex coefficient is discussed in the text.</w:t>
      </w:r>
    </w:p>
    <w:p>
      <w:r>
        <w:pict>
          <v:rect style="width:0;height:1.5pt" o:hralign="center" o:hrstd="t" o:hr="t"/>
        </w:pict>
      </w:r>
    </w:p>
    <w:bookmarkEnd w:id="65"/>
    <w:bookmarkEnd w:id="66"/>
    <w:bookmarkStart w:id="80" w:name="supplementary-tables"/>
    <w:p>
      <w:pPr>
        <w:pStyle w:val="Heading1"/>
      </w:pPr>
      <w:r>
        <w:t xml:space="preserve">Supplementary Tables</w:t>
      </w:r>
    </w:p>
    <w:bookmarkStart w:id="67" w:name="Xebccd7989a1b36b1a8982c87775dabe85d545fb"/>
    <w:p>
      <w:pPr>
        <w:pStyle w:val="Heading2"/>
      </w:pPr>
      <w:r>
        <w:t xml:space="preserve">3.11 Sensitivity to confounding and clustering</w:t>
      </w:r>
    </w:p>
    <w:p>
      <w:pPr>
        <w:pStyle w:val="FirstParagraph"/>
      </w:pPr>
      <w:r>
        <w:t xml:space="preserve">The</w:t>
      </w:r>
      <w:r>
        <w:t xml:space="preserve"> </w:t>
      </w:r>
      <w:r>
        <w:rPr>
          <w:i/>
          <w:iCs/>
        </w:rPr>
        <w:t xml:space="preserve">E-value</w:t>
      </w:r>
      <w:r>
        <w:t xml:space="preserve"> </w:t>
      </w:r>
      <w:r>
        <w:t xml:space="preserve">for the milestone-window volume effect (HR = 0.35) was 5.16, with a corresponding lower-CI E-value of 4.70 (VanderWeele &amp; Ding, 2017). An unmeasured confounder would therefore need to be associated with both baseline competition volume and senior retention by a risk ratio of at least 5.16 — substantially stronger than any observed covariate — to explain away the protective effect (Supplementary Table S3). Re-estimating the full Cox model with cluster-robust standard errors at the club level (Lin &amp; Wei, 1989) left point estimates unchanged (Supplementary Table S2). Substituting variable means for missing covariates produced near-identical estimates to the complete-case results (e.g., vol_milepael HR = 0.45 imputed vs. 0.44 complete-case; Supplementary Table S5). Fitting the full Cox model separately in male and female athletes produced identical C-indices (0.843) and concordant effect directions (Supplementary Table S7).</w:t>
      </w:r>
    </w:p>
    <w:p>
      <w:pPr>
        <w:pStyle w:val="BodyText"/>
      </w:pPr>
      <w:r>
        <w:t xml:space="preserve">In summary: across two independent birth-year cohorts spanning a 5-year window, competition volume at the qualification-milestone year is the dominant predictor of subsequent senior retention. The effect is unlikely to be fully explained by mechanical zero-values, replicates among athletes who remained active at age 16, is detectable using only pre-milestone data, withstands an E-value sensitivity exceeding 5, and is robust to outcome definition, missing-data treatment, club clustering, and sex stratification.</w:t>
      </w:r>
    </w:p>
    <w:p>
      <w:r>
        <w:pict>
          <v:rect style="width:0;height:1.5pt" o:hralign="center" o:hrstd="t" o:hr="t"/>
        </w:pict>
      </w:r>
    </w:p>
    <w:bookmarkEnd w:id="67"/>
    <w:bookmarkStart w:id="68" w:name="discussion"/>
    <w:p>
      <w:pPr>
        <w:pStyle w:val="Heading2"/>
      </w:pPr>
      <w:r>
        <w:t xml:space="preserve">4. Discussion</w:t>
      </w:r>
    </w:p>
    <w:bookmarkEnd w:id="68"/>
    <w:bookmarkStart w:id="69" w:name="summary-of-findings"/>
    <w:p>
      <w:pPr>
        <w:pStyle w:val="Heading2"/>
      </w:pPr>
      <w:r>
        <w:t xml:space="preserve">4.1 Summary of findings</w:t>
      </w:r>
    </w:p>
    <w:p>
      <w:pPr>
        <w:pStyle w:val="FirstParagraph"/>
      </w:pPr>
      <w:r>
        <w:t xml:space="preserve">In a population of 2,123 Norwegian youth track-and-field athletes followed for up to 14 years, three findings stand out. First, competitive dropout was preceded by large, observable changes in registered competition behavior — particularly during the age 15–16 milestone window. Future dropouts collapsed from a median of 8 meets at age 14 to 3 at age 15 and 0 at age 16, while future retainers maintained or expanded their participation. Second, behavioral indicators (competition volume, championship breadth) classified eventual senior retention substantially more accurately than baseline performance indicators (Cox C-index 0.846 vs. 0.574). Third, the pattern replicated across two independent birth-year cohorts (1998–2000 and 2001–2002) baseline-measured three years apart under different sponsor regimes of the same regional meet.</w:t>
      </w:r>
    </w:p>
    <w:p>
      <w:pPr>
        <w:pStyle w:val="BodyText"/>
      </w:pPr>
      <w:r>
        <w:t xml:space="preserve">Critically, the findings are unlikely to be fully explained by the operational overlap between predictor and outcome. Among the 1,167 athletes still demonstrably active at age 16, milestone-window volume remained the dominant correlate of subsequent senior retention (HR = 0.60 per SD, C-index = 0.735). And the behavioral signal was already detectable using only</w:t>
      </w:r>
      <w:r>
        <w:t xml:space="preserve"> </w:t>
      </w:r>
      <w:r>
        <w:rPr>
          <w:i/>
          <w:iCs/>
        </w:rPr>
        <w:t xml:space="preserve">pre-milestone</w:t>
      </w:r>
      <w:r>
        <w:t xml:space="preserve"> </w:t>
      </w:r>
      <w:r>
        <w:t xml:space="preserve">competition volume measured at ages 13–14 (HR = 0.50 per SD) — three years before the qualification-window outcomes that the qualitative literature emphasizes as a turning point. In other words: progressive competitive disengagement is observable at the very onset of organized competition, not just in reaction to selection events. Effects were robust to outcome definition, club clustering, missing-data treatment, and an unmeasured-confounder E-value of 5.16. Period-specific Cox modelling showed that the volume effect is most pronounced in the first three years post-baseline (HR = 0.14, ages 13–17) and dissipates among athletes who survive past the junior transition (HR = 0.96, age 19+), consistent with a marker of</w:t>
      </w:r>
      <w:r>
        <w:t xml:space="preserve"> </w:t>
      </w:r>
      <w:r>
        <w:rPr>
          <w:i/>
          <w:iCs/>
        </w:rPr>
        <w:t xml:space="preserve">proximal</w:t>
      </w:r>
      <w:r>
        <w:t xml:space="preserve"> </w:t>
      </w:r>
      <w:r>
        <w:t xml:space="preserve">disengagement rather than lifelong disposition.</w:t>
      </w:r>
    </w:p>
    <w:bookmarkEnd w:id="69"/>
    <w:bookmarkStart w:id="70" w:name="why-behavior-outperforms-performance"/>
    <w:p>
      <w:pPr>
        <w:pStyle w:val="Heading2"/>
      </w:pPr>
      <w:r>
        <w:t xml:space="preserve">4.2 Why behavior outperforms performance</w:t>
      </w:r>
    </w:p>
    <w:p>
      <w:pPr>
        <w:pStyle w:val="FirstParagraph"/>
      </w:pPr>
      <w:r>
        <w:t xml:space="preserve">A central finding is that behavioral engagement, measured by registered competition counts, classifies senior retention three to four times more accurately than baseline performance level. This pattern has a direct mechanistic reading and a more cautious epistemic reading; we offer both.</w:t>
      </w:r>
    </w:p>
    <w:p>
      <w:pPr>
        <w:pStyle w:val="BodyText"/>
      </w:pPr>
      <w:r>
        <w:t xml:space="preserve">The</w:t>
      </w:r>
      <w:r>
        <w:t xml:space="preserve"> </w:t>
      </w:r>
      <w:r>
        <w:rPr>
          <w:i/>
          <w:iCs/>
        </w:rPr>
        <w:t xml:space="preserve">mechanistic</w:t>
      </w:r>
      <w:r>
        <w:t xml:space="preserve"> </w:t>
      </w:r>
      <w:r>
        <w:t xml:space="preserve">reading is that the behaviors and performance level are measuring different latent constructs. Performance reflects what an athlete</w:t>
      </w:r>
      <w:r>
        <w:t xml:space="preserve"> </w:t>
      </w:r>
      <w:r>
        <w:rPr>
          <w:i/>
          <w:iCs/>
        </w:rPr>
        <w:t xml:space="preserve">can do</w:t>
      </w:r>
      <w:r>
        <w:t xml:space="preserve"> </w:t>
      </w:r>
      <w:r>
        <w:t xml:space="preserve">on a given day; behavioral engagement reflects what an athlete</w:t>
      </w:r>
      <w:r>
        <w:t xml:space="preserve"> </w:t>
      </w:r>
      <w:r>
        <w:rPr>
          <w:i/>
          <w:iCs/>
        </w:rPr>
        <w:t xml:space="preserve">chooses to do</w:t>
      </w:r>
      <w:r>
        <w:t xml:space="preserve"> </w:t>
      </w:r>
      <w:r>
        <w:t xml:space="preserve">across a season. The Cox model’s failure to retain a significant baseline-performance coefficient once volume is entered (Table 3, M4) — and the random forest’s lower importance ranking for performance variables (Supplementary Table S12) — together suggest that competitive choice, rather than competitive capability, is the proximal correlate of continuation.</w:t>
      </w:r>
    </w:p>
    <w:p>
      <w:pPr>
        <w:pStyle w:val="BodyText"/>
      </w:pPr>
      <w:r>
        <w:t xml:space="preserve">The</w:t>
      </w:r>
      <w:r>
        <w:t xml:space="preserve"> </w:t>
      </w:r>
      <w:r>
        <w:rPr>
          <w:i/>
          <w:iCs/>
        </w:rPr>
        <w:t xml:space="preserve">epistemic</w:t>
      </w:r>
      <w:r>
        <w:t xml:space="preserve"> </w:t>
      </w:r>
      <w:r>
        <w:t xml:space="preserve">reading is more cautious: the predictor (registered competitions) and the outcome (registered senior competitions) are both forms of registered competitive activity. Even after the landmark, zero-volume-exclusion, and lagged-volume sensitivities reported above, the two variables share a common scale. The behavioral signal should therefore be understood as identifying the</w:t>
      </w:r>
      <w:r>
        <w:t xml:space="preserve"> </w:t>
      </w:r>
      <w:r>
        <w:rPr>
          <w:i/>
          <w:iCs/>
        </w:rPr>
        <w:t xml:space="preserve">temporal structure</w:t>
      </w:r>
      <w:r>
        <w:t xml:space="preserve"> </w:t>
      </w:r>
      <w:r>
        <w:t xml:space="preserve">by which competitive disengagement becomes observable — months and years before its formal endpoint — rather than as showing that an underlying engagement-balance mechanism</w:t>
      </w:r>
      <w:r>
        <w:t xml:space="preserve"> </w:t>
      </w:r>
      <w:r>
        <w:rPr>
          <w:i/>
          <w:iCs/>
        </w:rPr>
        <w:t xml:space="preserve">causes</w:t>
      </w:r>
      <w:r>
        <w:t xml:space="preserve"> </w:t>
      </w:r>
      <w:r>
        <w:t xml:space="preserve">dropout. Our findings are consistent with such a mechanism but do not establish it on their own.</w:t>
      </w:r>
    </w:p>
    <w:bookmarkEnd w:id="70"/>
    <w:bookmarkStart w:id="71" w:name="X83593a4ec69740fca69823d39342c2dcca42a8b"/>
    <w:p>
      <w:pPr>
        <w:pStyle w:val="Heading2"/>
      </w:pPr>
      <w:r>
        <w:t xml:space="preserve">4.3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 function of an enjoyment-investment-constraints balance. The extended distinction between</w:t>
      </w:r>
      <w:r>
        <w:t xml:space="preserve"> </w:t>
      </w:r>
      <w:r>
        <w:rPr>
          <w:i/>
          <w:iCs/>
        </w:rPr>
        <w:t xml:space="preserve">enthusiastic</w:t>
      </w:r>
      <w:r>
        <w:t xml:space="preserve"> </w:t>
      </w:r>
      <w:r>
        <w:t xml:space="preserve">and</w:t>
      </w:r>
      <w:r>
        <w:t xml:space="preserve"> </w:t>
      </w:r>
      <w:r>
        <w:rPr>
          <w:i/>
          <w:iCs/>
        </w:rPr>
        <w:t xml:space="preserve">constrained</w:t>
      </w:r>
      <w:r>
        <w:t xml:space="preserve"> </w:t>
      </w:r>
      <w:r>
        <w:t xml:space="preserve">commitment (Scanlan et al., 2016) maps onto the two trajectories visible in our register: future retainers expand competition volume across the milestone window (median +6 meets from age 13 to age 15), while future dropouts contract at exactly the point at which commitment is being tested by the qualification window. Self-determination theory and its sport applications (Ryan &amp; Deci, 2000; Vallerand, 1997, 2007; Sarrazin et al., 2002; Calvo et al., 2010; Standage, 2012) predict that athletes whose participation is sustained by well-internalized motivation persist when demands rise; the registered behaviour of our future retainers is consistent with this. The qualitative withdrawal-as-process tradition (Ebaugh, 1988; Eliasson &amp; Johansson, 2021; Espedalen &amp; Seippel, 2022) characterizes dropout as a gradual deliberation often unfolding while athletes are still nominally participating. Our register shows exactly such an unfolding: at age 15 a typical future dropout was still competing in 3 meets (median), with an interquartile range stretching to 11 meets. Wall and Côté’s (2007) characterization of investors versus samplers, and Espedalen’s (2025) related characterization of engaged enthusiasts versus constrained casuals, both predict the bifurcating behavioral trajectories we observe.</w:t>
      </w:r>
    </w:p>
    <w:p>
      <w:pPr>
        <w:pStyle w:val="BodyText"/>
      </w:pPr>
      <w:r>
        <w:t xml:space="preserve">In short, the behavioral pattern we identify is what each of these accounts would predict if their hypothesized mechanisms (engagement balance, motivational quality, role-exit deliberation) leave their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71"/>
    <w:bookmarkStart w:id="72" w:name="the-sex-effect"/>
    <w:p>
      <w:pPr>
        <w:pStyle w:val="Heading2"/>
      </w:pPr>
      <w:r>
        <w:t xml:space="preserve">4.4 The sex effect</w:t>
      </w:r>
    </w:p>
    <w:p>
      <w:pPr>
        <w:pStyle w:val="FirstParagraph"/>
      </w:pPr>
      <w:r>
        <w:t xml:space="preserve">In the unadjusted Kaplan-Meier analysis we found no overall sex difference in retention (log-rank p = 0.33), in contrast to Bakken’s (2019) and other Norwegian survey-based findings of higher female dropout. Within the multivariable Cox model, the female coefficient was elevated and significant in Cohort A (HR = 1.19, p = 0.006) but not in Cohort B (HR = 1.02, p = 0.83). The subgroup analysis (Supplementary Table S7) shows that the</w:t>
      </w:r>
      <w:r>
        <w:t xml:space="preserve"> </w:t>
      </w:r>
      <w:r>
        <w:rPr>
          <w:i/>
          <w:iCs/>
        </w:rPr>
        <w:t xml:space="preserve">behavioral mechanism</w:t>
      </w:r>
      <w:r>
        <w:t xml:space="preserve"> </w:t>
      </w:r>
      <w:r>
        <w:t xml:space="preserve">is identical across sexes: milestone-window volume protects against dropout in male (HR = 0.42) and female (HR = 0.46) athletes alike, with C-indices of 0.843 in each subgroup. Whatever drives the residual sex differential in retention, it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72"/>
    <w:bookmarkStart w:id="73" w:name="what-the-register-contributes"/>
    <w:p>
      <w:pPr>
        <w:pStyle w:val="Heading2"/>
      </w:pPr>
      <w:r>
        <w:t xml:space="preserve">4.5 What the register contributes</w:t>
      </w:r>
    </w:p>
    <w:p>
      <w:pPr>
        <w:pStyle w:val="FirstParagraph"/>
      </w:pPr>
      <w:r>
        <w:t xml:space="preserve">Survey and interview research on youth-sport dropout suffers from two structural limitations. First, participants who have already withdrawn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is therefore not a new theoretical account — SCM, SDT, and withdrawal-as-process all pre-date this study — but a</w:t>
      </w:r>
      <w:r>
        <w:t xml:space="preserve"> </w:t>
      </w:r>
      <w:r>
        <w:rPr>
          <w:i/>
          <w:iCs/>
        </w:rPr>
        <w:t xml:space="preserve">longitudinal behavioral test</w:t>
      </w:r>
      <w:r>
        <w:t xml:space="preserve"> </w:t>
      </w:r>
      <w:r>
        <w:t xml:space="preserve">of accounts that have been argued primarily on cross-sectional or short-prospective evidence. The behavioral signal we identify classifies eventual senior retention at AUC = 0.82, replicates across two birth-year cohorts measured three years apart, withstands an E-value sensitivity of 5.16, and behaves coherently across follow-up windows and outcome definitions.</w:t>
      </w:r>
    </w:p>
    <w:bookmarkEnd w:id="73"/>
    <w:bookmarkStart w:id="74" w:name="practical-implications"/>
    <w:p>
      <w:pPr>
        <w:pStyle w:val="Heading2"/>
      </w:pPr>
      <w:r>
        <w:t xml:space="preserve">4.6 Practical implications</w:t>
      </w:r>
    </w:p>
    <w:p>
      <w:pPr>
        <w:pStyle w:val="FirstParagraph"/>
      </w:pPr>
      <w:r>
        <w:t xml:space="preserve">The findings suggest a tractable early-warning approach for retention-focused interventions. The calibration analysis (Table 6) shows positive predictive values of 0.95 or higher across plausible thresholds for</w:t>
      </w:r>
      <w:r>
        <w:t xml:space="preserve"> </w:t>
      </w:r>
      <w:r>
        <w:t xml:space="preserve">“flagging”</w:t>
      </w:r>
      <w:r>
        <w:t xml:space="preserve"> </w:t>
      </w:r>
      <w:r>
        <w:t xml:space="preserve">low-volume athletes. The high PPV partly reflects the high dropout base rate in this population (84%) — a</w:t>
      </w:r>
      <w:r>
        <w:t xml:space="preserve"> </w:t>
      </w:r>
      <w:r>
        <w:t xml:space="preserve">“predict everyone drops out”</w:t>
      </w:r>
      <w:r>
        <w:t xml:space="preserve"> </w:t>
      </w:r>
      <w:r>
        <w:t xml:space="preserve">rule already achieves PPV = 0.84 — but the behavioral threshold improves precision by 11–15 percentage points over base-rate prediction while providing graduated sensitivity.</w:t>
      </w:r>
    </w:p>
    <w:p>
      <w:pPr>
        <w:pStyle w:val="BodyText"/>
      </w:pPr>
      <w:r>
        <w:rPr>
          <w:b/>
          <w:bCs/>
        </w:rPr>
        <w:t xml:space="preserve">Worked example.</w:t>
      </w:r>
      <w:r>
        <w:t xml:space="preserve"> </w:t>
      </w:r>
      <w:r>
        <w:t xml:space="preserve">In a regional federation cohort of 400 youth athletes entering their 15-year-old season, applying the moderate threshold (vol_milepael &lt; 10 meets across ages 15–16) would flag 215 athletes (53.7%); 209 of these (97%) would otherwise drop out before senior age, while the rule catches 63% of all eventual dropouts. Lower thresholds (vol &lt; 1, 28% flagged, PPV = 0.99) suit resource-constrained interventions targeting the most extreme cases; higher thresholds (vol &lt; 20, 67% flagged, PPV = 0.95) suit broader outreach. The choice is operational, not statistical.</w:t>
      </w:r>
    </w:p>
    <w:p>
      <w:pPr>
        <w:pStyle w:val="BodyText"/>
      </w:pPr>
      <w:r>
        <w:t xml:space="preserve">The time-varying analysis (Figure 4) sharpens this: the volume signal is most informative in the first three years after baseline (HR = 0.14), which corresponds to ages 15–17 — the very years that the qualitative literature identifies as the deliberative window of withdrawal-as-process. An intervention aimed at the</w:t>
      </w:r>
      <w:r>
        <w:t xml:space="preserve"> </w:t>
      </w:r>
      <w:r>
        <w:rPr>
          <w:i/>
          <w:iCs/>
        </w:rPr>
        <w:t xml:space="preserve">behavioral</w:t>
      </w:r>
      <w:r>
        <w:t xml:space="preserve"> </w:t>
      </w:r>
      <w:r>
        <w:t xml:space="preserve">signal in</w:t>
      </w:r>
      <w:r>
        <w:t xml:space="preserve"> </w:t>
      </w:r>
      <w:r>
        <w:rPr>
          <w:i/>
          <w:iCs/>
        </w:rPr>
        <w:t xml:space="preserve">that</w:t>
      </w:r>
      <w:r>
        <w:t xml:space="preserve"> </w:t>
      </w:r>
      <w:r>
        <w:t xml:space="preserve">window has the strongest mechanistic justification. We note that behavioral surveillance is a</w:t>
      </w:r>
      <w:r>
        <w:t xml:space="preserve"> </w:t>
      </w:r>
      <w:r>
        <w:rPr>
          <w:i/>
          <w:iCs/>
        </w:rPr>
        <w:t xml:space="preserve">complement</w:t>
      </w:r>
      <w:r>
        <w:t xml:space="preserve"> </w:t>
      </w:r>
      <w:r>
        <w:t xml:space="preserve">to, not a replacement for, motivation-focused instruments such as the SCQ-2 (Scanlan et al., 2016): behavioral data tells a coach which athletes to call; an SCQ-2 administration tells them what to discuss.</w:t>
      </w:r>
    </w:p>
    <w:p>
      <w:pPr>
        <w:pStyle w:val="BodyText"/>
      </w:pPr>
      <w:r>
        <w:t xml:space="preserve">Cross-event diversification (lower HHI) was protective of senior retention in our data, more strongly in Cohort B than Cohort A (HR = 0.88 per SD vs. 1.00; Table 7). We do not draw a strong specialization conclusion from this — the cohort-specific evidence is mixed and HHI was not significant in our primary model — but the cohort-B finding is consistent with the international diversification literature (Côté &amp; Hancock, 2016; Güllich et al., 2022; Wall &amp; Côté, 2007).</w:t>
      </w:r>
    </w:p>
    <w:bookmarkEnd w:id="74"/>
    <w:bookmarkStart w:id="75" w:name="limitations"/>
    <w:p>
      <w:pPr>
        <w:pStyle w:val="Heading2"/>
      </w:pPr>
      <w:r>
        <w:t xml:space="preserve">4.7 Limitations</w:t>
      </w:r>
    </w:p>
    <w:p>
      <w:pPr>
        <w:pStyle w:val="FirstParagraph"/>
      </w:pPr>
      <w:r>
        <w:t xml:space="preserve">Five limitations bear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parental support waned, because school demands increased, because a coach did not select them, or because they were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 Because predictor and outcome are operationally similar (both registered competitive activity), our results identify the temporal structure of competitive disengagement; they do not show that volume</w:t>
      </w:r>
      <w:r>
        <w:t xml:space="preserve"> </w:t>
      </w:r>
      <w:r>
        <w:rPr>
          <w:i/>
          <w:iCs/>
        </w:rPr>
        <w:t xml:space="preserve">causes</w:t>
      </w:r>
      <w:r>
        <w:t xml:space="preserve"> </w:t>
      </w:r>
      <w:r>
        <w:t xml:space="preserve">dropout.</w:t>
      </w:r>
    </w:p>
    <w:p>
      <w:pPr>
        <w:pStyle w:val="BodyText"/>
      </w:pPr>
      <w:r>
        <w:t xml:space="preserve">Third, the population is selected. Athletes who participated in a regional grassroots meet at age 13–14 are already self- and parent-selected for organized-sport orientation. Effects we observed within this population may differ in shape or strength among the broader population of adolescents who never enter the funnel.</w:t>
      </w:r>
    </w:p>
    <w:p>
      <w:pPr>
        <w:pStyle w:val="BodyText"/>
      </w:pPr>
      <w:r>
        <w:t xml:space="preserve">Fourth, the proportional-hazards assumption was violated for the dominant predictor (Schoenfeld χ² = 220.77, p &lt; .001). We addressed this with period-specific Cox models (Table 5) and a stratified model (Supplementary Table S6), both of which preserved the substantive conclusion that the volume effect is large and protective in the proximal follow-up window. The PH violation reflects the time-varying nature of the protective effect (strong at younger ages, fading later), not a defect of estimation.</w:t>
      </w:r>
    </w:p>
    <w:p>
      <w:pPr>
        <w:pStyle w:val="BodyText"/>
      </w:pPr>
      <w:r>
        <w:t xml:space="preserve">Fifth, despite a 14-year maximum follow-up, our right-censoring window means the most recent (2001–2002 birth) cohort had at most 4 years of post-senior observation. The replication finding is strengthened by the differing follow-up windows; nonetheless, longer follow-up would allow us to distinguish</w:t>
      </w:r>
      <w:r>
        <w:t xml:space="preserve"> </w:t>
      </w:r>
      <w:r>
        <w:rPr>
          <w:i/>
          <w:iCs/>
        </w:rPr>
        <w:t xml:space="preserve">late dropouts</w:t>
      </w:r>
      <w:r>
        <w:t xml:space="preserve"> </w:t>
      </w:r>
      <w:r>
        <w:t xml:space="preserve">(athletes who continue into their early twenties but disengage by age 30) from genuine career athletes.</w:t>
      </w:r>
    </w:p>
    <w:bookmarkEnd w:id="75"/>
    <w:bookmarkStart w:id="76" w:name="future-directions"/>
    <w:p>
      <w:pPr>
        <w:pStyle w:val="Heading2"/>
      </w:pPr>
      <w:r>
        <w:t xml:space="preserve">4.8 Future directions</w:t>
      </w:r>
    </w:p>
    <w:p>
      <w:pPr>
        <w:pStyle w:val="FirstParagraph"/>
      </w:pPr>
      <w:r>
        <w:t xml:space="preserve">Three extensions deserve attention: linking the register-based behavioral signal to standard psychological instruments (e.g., SCQ-2) in currently active athletes to directly test whether low volume tracks low intrinsic motivation; testing cross-sport generalization where registers are less complete; and quasi-experimental implementation of behavioral surveillance with federation-level outreach to athletes whose age-15 volume falls into the bottom quintile.</w:t>
      </w:r>
    </w:p>
    <w:bookmarkEnd w:id="76"/>
    <w:bookmarkStart w:id="77" w:name="conclusion"/>
    <w:p>
      <w:pPr>
        <w:pStyle w:val="Heading2"/>
      </w:pPr>
      <w:r>
        <w:t xml:space="preserve">4.9 Conclusion</w:t>
      </w:r>
    </w:p>
    <w:p>
      <w:pPr>
        <w:pStyle w:val="FirstParagraph"/>
      </w:pPr>
      <w:r>
        <w:t xml:space="preserve">Competitive dropout from Norwegian youth track and field was preceded by large, observable changes in registered competition behavior, particularly during the age 15–16 milestone window. These behavioral indicators predicted subsequent senior retention substantially more strongly than baseline performance, replicated across two independent birth-year cohorts, and were robust to plausible threats to validity including outcome definition, missing data, clustering, and unmeasured confounding. The findings are consistent with — though they do not directly confirm — long-standing qualitative and theoretical accounts that frame dropout as a gradual deliberative process rather than a single decision. They suggest a practical role for registry-based behavioral surveillance as an early-warning marker of progressive competitive disengagement.</w:t>
      </w:r>
    </w:p>
    <w:p>
      <w:r>
        <w:pict>
          <v:rect style="width:0;height:1.5pt" o:hralign="center" o:hrstd="t" o:hr="t"/>
        </w:pict>
      </w:r>
    </w:p>
    <w:bookmarkEnd w:id="77"/>
    <w:bookmarkStart w:id="7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Denzin, N. K. (2009).</w:t>
      </w:r>
      <w:r>
        <w:t xml:space="preserve"> </w:t>
      </w:r>
      <w:r>
        <w:rPr>
          <w:i/>
          <w:iCs/>
        </w:rPr>
        <w:t xml:space="preserve">The research act: A theoretical introduction to sociological methods</w:t>
      </w:r>
      <w:r>
        <w:t xml:space="preserve">. Aldine Transaction.</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2026-05-18T01:56:19Z</dcterms:created>
  <dcterms:modified xsi:type="dcterms:W3CDTF">2026-05-18T01:56:19Z</dcterms:modified>
</cp:coreProperties>
</file>

<file path=docProps/custom.xml><?xml version="1.0" encoding="utf-8"?>
<Properties xmlns="http://schemas.openxmlformats.org/officeDocument/2006/custom-properties" xmlns:vt="http://schemas.openxmlformats.org/officeDocument/2006/docPropsVTypes"/>
</file>