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1.png" ContentType="image/png"/>
  <Override PartName="/word/media/rId34.png" ContentType="image/png"/>
  <Override PartName="/word/media/rId3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2e4d26323c44b0e13220bcda9ef56874f9a7a62"/>
    <w:p>
      <w:pPr>
        <w:pStyle w:val="Heading1"/>
      </w:pPr>
      <w:r>
        <w:t xml:space="preserve">Behavioral pathways out of youth competitive sport: A 14-year longitudinal registry study of Norwegian track and field athletes</w:t>
      </w:r>
    </w:p>
    <w:p>
      <w:pPr>
        <w:pStyle w:val="FirstParagraph"/>
      </w:pPr>
      <w:r>
        <w:rPr>
          <w:b/>
          <w:bCs/>
        </w:rPr>
        <w:t xml:space="preserve">Running title:</w:t>
      </w:r>
      <w:r>
        <w:t xml:space="preserve"> </w:t>
      </w:r>
      <w:r>
        <w:t xml:space="preserve">Behavioral pathways out of youth sport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Qualitative research has characterized youth sport dropout as a gradual, deliberative process in which young athletes divide into a deeply committed minority and a larger group oriented toward easily accessible enjoyment. This study provides the first longitudinal registry-based quantification of those behavioral pathways.</w:t>
      </w:r>
    </w:p>
    <w:p>
      <w:pPr>
        <w:pStyle w:val="BodyText"/>
      </w:pPr>
      <w:r>
        <w:rPr>
          <w:b/>
          <w:bCs/>
        </w:rPr>
        <w:t xml:space="preserve">Method.</w:t>
      </w:r>
      <w:r>
        <w:t xml:space="preserve"> </w:t>
      </w:r>
      <w:r>
        <w:t xml:space="preserve">We followed all 2,123 Norwegian youth athletes (ages 13–14) who participated in five consecutive editions of a regional grassroots track-and-field meet between 2011 and 2016 (birth cohorts 1998–2002). Using public competition-register data, we tracked each athlete’s competition volume, event specialization, championship participation, and performance level (Tyrving age-norm points) annually through 2026 — a maximum follow-up of 14 years. Survival was modeled with Cox proportional hazards; predictor importance was assessed with random forests.</w:t>
      </w:r>
    </w:p>
    <w:p>
      <w:pPr>
        <w:pStyle w:val="BodyText"/>
      </w:pPr>
      <w:r>
        <w:rPr>
          <w:b/>
          <w:bCs/>
        </w:rPr>
        <w:t xml:space="preserve">Results.</w:t>
      </w:r>
      <w:r>
        <w:t xml:space="preserve"> </w:t>
      </w:r>
      <w:r>
        <w:t xml:space="preserve">Competition volume at age 15–16 was the strongest single predictor of senior retention (age ≥20), more than tripling the predictive accuracy of performance- and specialization-based models (Cox C-index 0.85 vs. 0.57). Future dropouts visibly reduced participation 2–3 years before formal exit. Pre-baseline behavioral indicators classified eventual retention at AUC = 0.82. Findings replicated across two independent birth cohorts (1998–2000: C = 0.835; 2001–2002: C = 0.852). Performance level (Tyrving points) and early specialization (Herfindahl–Hirschman index) added little after behavioral indicators were entered.</w:t>
      </w:r>
    </w:p>
    <w:p>
      <w:pPr>
        <w:pStyle w:val="BodyText"/>
      </w:pPr>
      <w:r>
        <w:rPr>
          <w:b/>
          <w:bCs/>
        </w:rPr>
        <w:t xml:space="preserve">Conclusions.</w:t>
      </w:r>
      <w:r>
        <w:t xml:space="preserve"> </w:t>
      </w:r>
      <w:r>
        <w:t xml:space="preserve">Youth-sport dropout is a behavioral phenomenon detectable years before formal exit. Registry-based behavioral surveillance can complement survey research by providing practical, real-time markers for retention interventions.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well over half of the children who participate at age 13 have left organized competition by age 17 (Bakken, 2019; Norges Idrettsforbund, 2024). The pattern is so consistent that it has become a recurring concern for federations, clubs, and policymakers who must allocate scarce coaching, facility, and program resources across a thinning developmental pipeline.</w:t>
      </w:r>
    </w:p>
    <w:p>
      <w:pPr>
        <w:pStyle w:val="BodyText"/>
      </w:pPr>
      <w:r>
        <w:t xml:space="preserve">What is known about</w:t>
      </w:r>
      <w:r>
        <w:t xml:space="preserve"> </w:t>
      </w:r>
      <w:r>
        <w:rPr>
          <w:i/>
          <w:iCs/>
        </w:rPr>
        <w:t xml:space="preserve">why</w:t>
      </w:r>
      <w:r>
        <w:t xml:space="preserve"> </w:t>
      </w:r>
      <w:r>
        <w:t xml:space="preserve">adolescents leave competitive sport comes overwhelmingly from interview-based and survey-based research. In a recent doctoral dissertation, Espedalen (2025) integrated three sub-studies of Norwegian youth handball and football into the argument that two distinct populations co-exist within organized youth sport: a small group of deeply committed athletes who have integrated sport into their identities, and a larger group oriented toward easily accessible enjoyment who readily move between activities. When the demands of organized sport — competitive selection, prescribed training volumes, narrowing event focus — escalate around the qualification milestone years (Norwegian Youth Championships, age 15-16; Junior National Championships, age 17-19), the second group withdraws. Espedalen’s account builds directly on Scanlan and colleagues’ Sport Commitment Model (Scanlan et al., 1993, 2016), Kretchmar’s (2000) concept of meaningful engagement, and Eliasson and Johansson’s (2021) interview-based characterization of withdrawal as a process — drawing on Ebaugh’s sociology of disengagement — that</w:t>
      </w:r>
      <w:r>
        <w:t xml:space="preserve"> </w:t>
      </w:r>
      <w:r>
        <w:t xml:space="preserve">“may be fairly long and emotional for young athletes, and less reversible the further into the process they progress”</w:t>
      </w:r>
      <w:r>
        <w:t xml:space="preserve"> </w:t>
      </w:r>
      <w:r>
        <w:t xml:space="preserve">(Eliasson &amp; Johansson, 2021, abstract).</w:t>
      </w:r>
    </w:p>
    <w:p>
      <w:pPr>
        <w:pStyle w:val="BodyText"/>
      </w:pPr>
      <w:r>
        <w:t xml:space="preserve">These accounts share three structural features. First, dropout is framed as</w:t>
      </w:r>
      <w:r>
        <w:t xml:space="preserve"> </w:t>
      </w:r>
      <w:r>
        <w:rPr>
          <w:i/>
          <w:iCs/>
        </w:rPr>
        <w:t xml:space="preserve">gradual</w:t>
      </w:r>
      <w:r>
        <w:t xml:space="preserve"> </w:t>
      </w:r>
      <w:r>
        <w:t xml:space="preserve">— a 1-2 year deliberative process during which an athlete progressively disengages while still nominally participating. Second, the relevant signal is</w:t>
      </w:r>
      <w:r>
        <w:t xml:space="preserve"> </w:t>
      </w:r>
      <w:r>
        <w:rPr>
          <w:i/>
          <w:iCs/>
        </w:rPr>
        <w:t xml:space="preserve">behavioral</w:t>
      </w:r>
      <w:r>
        <w:t xml:space="preserve"> </w:t>
      </w:r>
      <w:r>
        <w:t xml:space="preserve">rather than performance-based: athletes do not necessarily leave because they cannot keep up with peers, but because the activity’s costs (time, identity, social demands) cease to outweigh its rewards. Third, the</w:t>
      </w:r>
      <w:r>
        <w:t xml:space="preserve"> </w:t>
      </w:r>
      <w:r>
        <w:rPr>
          <w:i/>
          <w:iCs/>
        </w:rPr>
        <w:t xml:space="preserve">milestone years</w:t>
      </w:r>
      <w:r>
        <w:t xml:space="preserve"> </w:t>
      </w:r>
      <w:r>
        <w:t xml:space="preserve">are pivotal — moments at which the implicit contract between athlete and federation becomes explicit through selection events.</w:t>
      </w:r>
    </w:p>
    <w:p>
      <w:pPr>
        <w:pStyle w:val="BodyText"/>
      </w:pPr>
      <w:r>
        <w:t xml:space="preserve">Quantitative research, by contrast, has tended to focus on more readily measurable but conceptually narrower predictors. Relative age effects in youth-sport selection are well documented (Cobley et al., 2009; Wattie et al., 2015). Early sport specialization has been examined both as a developmental risk (DiFiori et al., 2014; Jayanthi et al., 2015) and as a protective factor for elite outcomes (Güllich et al., 2022). The performance-vs-participation tradeoff has been theorized but rarely tested across the full adolescent window with a single behavioral metric. A consequence of this fragmentation is that the qualitative insight — that dropout is a longitudinal behavioral process — has remained untested with the kind of longitudinal behavioral data that would either corroborate or refute it.</w:t>
      </w:r>
    </w:p>
    <w:p>
      <w:pPr>
        <w:pStyle w:val="BodyText"/>
      </w:pPr>
      <w:r>
        <w:t xml:space="preserve">This paper provides that test. Norwegian track and field maintains a publicly accessible competition register that records every officially timed result for every registered athlete back to the early 2010s, with full follow-up through the present. The register enables an unusual research design: identification of a complete population of 13-14-year-old participants at a single regional meet, then unobtrusive longitudinal observation of their competitive engagement — number of meets, events, and championships entered each year — across the entire adolescent and young-adult window. Because every entry is digitally timestamped and verified, the data are free from the recall bias that affects retrospective interviews and from the selection bias that affects prospective surveys (responders differ systematically from non-responders, and especially differ from those who have already left the sport).</w:t>
      </w:r>
    </w:p>
    <w:p>
      <w:pPr>
        <w:pStyle w:val="BodyText"/>
      </w:pPr>
      <w:r>
        <w:t xml:space="preserve">We use this register to address three questions. First, can the qualitative</w:t>
      </w:r>
      <w:r>
        <w:t xml:space="preserve"> </w:t>
      </w:r>
      <w:r>
        <w:rPr>
          <w:i/>
          <w:iCs/>
        </w:rPr>
        <w:t xml:space="preserve">two-groups</w:t>
      </w:r>
      <w:r>
        <w:t xml:space="preserve"> </w:t>
      </w:r>
      <w:r>
        <w:t xml:space="preserve">observation be detected in behavioral trajectories — that is, do future retainers and future dropouts diverge visibly in measurable engagement before formal exit? Second, which behavioral and performance indicators predict eventual senior retention (continuing to compete past age 20), and which add little once others are entered? Third, do the behavioral patterns replicate across cohorts that were 13-14 years old in different historical periods (2011–2014 vs. 2014–2016)?</w:t>
      </w:r>
    </w:p>
    <w:p>
      <w:pPr>
        <w:pStyle w:val="BodyText"/>
      </w:pPr>
      <w:r>
        <w:t xml:space="preserve">We address these questions in 2,123 Norwegian youth athletes followed for up to 14 years. The design treats competition-register data not as a substitute for survey research but as a complementary lens: surveys access subjective meaning; registers access objective behavior. Where the two converge — as we will argue they do — the case for any single account is strengthened.</w:t>
      </w:r>
    </w:p>
    <w:p>
      <w:r>
        <w:pict>
          <v:rect style="width:0;height:1.5pt" o:hralign="center" o:hrstd="t" o:hr="t"/>
        </w:pict>
      </w:r>
    </w:p>
    <w:bookmarkEnd w:id="10"/>
    <w:bookmarkStart w:id="23" w:name="method"/>
    <w:p>
      <w:pPr>
        <w:pStyle w:val="Heading2"/>
      </w:pPr>
      <w:r>
        <w:t xml:space="preserve">2. Method</w:t>
      </w:r>
    </w:p>
    <w:bookmarkStart w:id="11" w:name="design"/>
    <w:p>
      <w:pPr>
        <w:pStyle w:val="Heading3"/>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and we therefore frame statistical inference as descriptive of that population rather than as inference to a hypothetical superpopulation (Berk &amp; Freedman, 2003). Reporting follows STROBE guidance for observational studies (von Elm et al., 2007).</w:t>
      </w:r>
    </w:p>
    <w:bookmarkEnd w:id="11"/>
    <w:bookmarkStart w:id="12" w:name="setting-and-inclusion"/>
    <w:p>
      <w:pPr>
        <w:pStyle w:val="Heading3"/>
      </w:pPr>
      <w:r>
        <w:t xml:space="preserve">2.2 Setting and inclusion</w:t>
      </w:r>
    </w:p>
    <w:p>
      <w:pPr>
        <w:pStyle w:val="FirstParagraph"/>
      </w:pPr>
      <w:r>
        <w:t xml:space="preserve">The cohort comprises every athlete who participated in any of the five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and venue rotation while changing sponsor name). Each edition admitted athletes aged 13–14 in the year of the meet. Athletes were free to enter as 13-year-olds, as 14-year-olds, or both; participation was not contingent on selection or qualifying performance.</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3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2"/>
    <w:bookmarkStart w:id="13" w:name="follow-up-window"/>
    <w:p>
      <w:pPr>
        <w:pStyle w:val="Heading3"/>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3"/>
    <w:bookmarkStart w:id="19" w:name="variables"/>
    <w:p>
      <w:pPr>
        <w:pStyle w:val="Heading3"/>
      </w:pPr>
      <w:r>
        <w:t xml:space="preserve">2.4 Variables</w:t>
      </w:r>
    </w:p>
    <w:bookmarkStart w:id="14" w:name="outcome-variables"/>
    <w:p>
      <w:pPr>
        <w:pStyle w:val="Heading4"/>
      </w:pPr>
      <w:r>
        <w:t xml:space="preserve">2.4.1 Outcome variables</w:t>
      </w:r>
    </w:p>
    <w:p>
      <w:pPr>
        <w:pStyle w:val="FirstParagraph"/>
      </w:pPr>
      <w:r>
        <w:t xml:space="preserve">The primary outcome was</w:t>
      </w:r>
      <w:r>
        <w:t xml:space="preserve"> </w:t>
      </w:r>
      <w:r>
        <w:rPr>
          <w:b/>
          <w:bCs/>
        </w:rPr>
        <w:t xml:space="preserve">active senior status</w:t>
      </w:r>
      <w:r>
        <w:t xml:space="preserve">: a binary indicator coded 1 if the athlete had at least two registered competition results in any single calendar year at age 20 or later, and 0 otherwise. Secondary outcomes were</w:t>
      </w:r>
      <w:r>
        <w:t xml:space="preserve"> </w:t>
      </w:r>
      <w:r>
        <w:rPr>
          <w:i/>
          <w:iCs/>
        </w:rPr>
        <w:t xml:space="preserve">active age 17</w:t>
      </w:r>
      <w:r>
        <w:t xml:space="preserve">,</w:t>
      </w:r>
      <w:r>
        <w:t xml:space="preserve"> </w:t>
      </w:r>
      <w:r>
        <w:rPr>
          <w:i/>
          <w:iCs/>
        </w:rPr>
        <w:t xml:space="preserve">active age 18</w:t>
      </w:r>
      <w:r>
        <w:t xml:space="preserve">, and</w:t>
      </w:r>
      <w:r>
        <w:t xml:space="preserve"> </w:t>
      </w:r>
      <w:r>
        <w:rPr>
          <w:i/>
          <w:iCs/>
        </w:rPr>
        <w:t xml:space="preserve">continued activity in 2024 or later</w:t>
      </w:r>
      <w:r>
        <w:t xml:space="preserve">. An</w:t>
      </w:r>
      <w:r>
        <w:t xml:space="preserve"> </w:t>
      </w:r>
      <w:r>
        <w:rPr>
          <w:i/>
          <w:iCs/>
        </w:rPr>
        <w:t xml:space="preserve">active season</w:t>
      </w:r>
      <w:r>
        <w:t xml:space="preserve"> </w:t>
      </w:r>
      <w:r>
        <w:t xml:space="preserve">was operationalized as a calendar year with ≥2 registered results, to exclude athletes who returned to the register only sporadically.</w:t>
      </w:r>
    </w:p>
    <w:p>
      <w:pPr>
        <w:pStyle w:val="BodyText"/>
      </w:pPr>
      <w:r>
        <w:t xml:space="preserve">For survival analyses, we used</w:t>
      </w:r>
      <w:r>
        <w:t xml:space="preserve"> </w:t>
      </w:r>
      <w:r>
        <w:rPr>
          <w:b/>
          <w:bCs/>
        </w:rPr>
        <w:t xml:space="preserve">time to last active season</w:t>
      </w:r>
      <w:r>
        <w:t xml:space="preserve"> </w:t>
      </w:r>
      <w:r>
        <w:t xml:space="preserve">as duration and the absence of activity in 2024+ as the event indicator, with athletes still competing in 2024+ treated as right-censored.</w:t>
      </w:r>
    </w:p>
    <w:bookmarkEnd w:id="14"/>
    <w:bookmarkStart w:id="15" w:name="performance-variables"/>
    <w:p>
      <w:pPr>
        <w:pStyle w:val="Heading4"/>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 We also derived a within-event, within-sex, within-meet percentile rank at baseline to give a complementary relative-performance measure that is robust to age-norm idiosyncrasies in the Tyrving table.</w:t>
      </w:r>
    </w:p>
    <w:bookmarkEnd w:id="15"/>
    <w:bookmarkStart w:id="16" w:name="specialization-variables"/>
    <w:p>
      <w:pPr>
        <w:pStyle w:val="Heading4"/>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 HHI = Σ(s²ᵢ), where sᵢ is the share of that athlete’s results falling in category</w:t>
      </w:r>
      <w:r>
        <w:t xml:space="preserve"> </w:t>
      </w:r>
      <w:r>
        <w:rPr>
          <w:i/>
          <w:iCs/>
        </w:rPr>
        <w:t xml:space="preserve">i</w:t>
      </w:r>
      <w:r>
        <w:t xml:space="preserve">.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16"/>
    <w:bookmarkStart w:id="17" w:name="behavioral-engagement-variables"/>
    <w:p>
      <w:pPr>
        <w:pStyle w:val="Heading4"/>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helaars_age_X</w:t>
      </w:r>
      <w:r>
        <w:t xml:space="preserve"> </w:t>
      </w:r>
      <w:r>
        <w:t xml:space="preserve">= 1 if the athlete competed in both an outdoor and an indoor meet in that age year, else 0). We derived composite indicators including</w:t>
      </w:r>
      <w:r>
        <w:t xml:space="preserve"> </w:t>
      </w:r>
      <w:r>
        <w:rPr>
          <w:b/>
          <w:bCs/>
        </w:rPr>
        <w:t xml:space="preserve">vol_pre_milepael</w:t>
      </w:r>
      <w:r>
        <w:t xml:space="preserve"> </w:t>
      </w:r>
      <w:r>
        <w:t xml:space="preserve">(sum of meets at ages 13–14),</w:t>
      </w:r>
      <w:r>
        <w:t xml:space="preserve"> </w:t>
      </w:r>
      <w:r>
        <w:rPr>
          <w:b/>
          <w:bCs/>
        </w:rPr>
        <w:t xml:space="preserve">vol_milepael</w:t>
      </w:r>
      <w:r>
        <w:t xml:space="preserve"> </w:t>
      </w:r>
      <w:r>
        <w:t xml:space="preserve">(sum of meets at ages 15–16, the qualification milestone window), and</w:t>
      </w:r>
      <w:r>
        <w:t xml:space="preserve"> </w:t>
      </w:r>
      <w:r>
        <w:rPr>
          <w:b/>
          <w:bCs/>
        </w:rPr>
        <w:t xml:space="preserve">vol_trend_milepael</w:t>
      </w:r>
      <w:r>
        <w:t xml:space="preserve"> </w:t>
      </w:r>
      <w:r>
        <w:t xml:space="preserve">(vol_milepael − vol_pre_milepael), as well as</w:t>
      </w:r>
      <w:r>
        <w:t xml:space="preserve"> </w:t>
      </w:r>
      <w:r>
        <w:rPr>
          <w:b/>
          <w:bCs/>
        </w:rPr>
        <w:t xml:space="preserve">n_msk_typer</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bookmarkEnd w:id="17"/>
    <w:bookmarkStart w:id="18" w:name="control-variables"/>
    <w:p>
      <w:pPr>
        <w:pStyle w:val="Heading4"/>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18"/>
    <w:bookmarkEnd w:id="19"/>
    <w:bookmarkStart w:id="20" w:name="statistical-analysis"/>
    <w:p>
      <w:pPr>
        <w:pStyle w:val="Heading3"/>
      </w:pPr>
      <w:r>
        <w:t xml:space="preserve">2.5 Statistical analysis</w:t>
      </w:r>
    </w:p>
    <w:p>
      <w:pPr>
        <w:pStyle w:val="FirstParagraph"/>
      </w:pPr>
      <w:r>
        <w:t xml:space="preserve">Survival analysis used Kaplan–Meier estimators stratified by sex, competition-volume strata at age 15–16, and number of championship types. Cox proportional hazards models were fitted in a stepwise sequence to characterize the unique contribution of each variable class: M1 (sex only), M2 (+ performance), M3 (+ specialization), M4 (+ competition volume at milestone), and M5 (+ championship types). Concordance indices (C-index) gauged the discriminative gain at each step. Continuous covariates were standardized (z-scored) so that hazard ratios reflect per-SD effects.</w:t>
      </w:r>
    </w:p>
    <w:p>
      <w:pPr>
        <w:pStyle w:val="BodyText"/>
      </w:pPr>
      <w:r>
        <w:t xml:space="preserve">For non-parametric variable importance, we fit a random forest with 500 trees and maximum depth 8 to predict active senior status, with class weighting to handle outcome imbalance. Cross-validated AUCs (5-fold stratified) compared nested subsets of predictors: baseline-only (sex + Tyrving), specialization-only, competition-volume-only, pre-baseline behavioral combined, and the full predictor set.</w:t>
      </w:r>
    </w:p>
    <w:p>
      <w:pPr>
        <w:pStyle w:val="BodyText"/>
      </w:pPr>
      <w:r>
        <w:t xml:space="preserve">To assess</w:t>
      </w:r>
      <w:r>
        <w:t xml:space="preserve"> </w:t>
      </w:r>
      <w:r>
        <w:rPr>
          <w:b/>
          <w:bCs/>
        </w:rPr>
        <w:t xml:space="preserve">cross-cohort replication</w:t>
      </w:r>
      <w:r>
        <w:t xml:space="preserve">, we re-estimated the full Cox model separately within Cohort A (1998–2000) and Cohort B (2001–2002).</w:t>
      </w:r>
    </w:p>
    <w:p>
      <w:pPr>
        <w:pStyle w:val="BodyText"/>
      </w:pPr>
      <w:r>
        <w:t xml:space="preserve">All analyses used Python 3.13 with the lifelines package (Davidson-Pilon, 2024) for survival analysis and scikit-learn (Pedregosa et al., 2011) for random forests.</w:t>
      </w:r>
    </w:p>
    <w:bookmarkEnd w:id="20"/>
    <w:bookmarkStart w:id="21" w:name="sex-and-gender"/>
    <w:p>
      <w:pPr>
        <w:pStyle w:val="Heading3"/>
      </w:pPr>
      <w:r>
        <w:t xml:space="preserve">2.6 Sex and gender</w:t>
      </w:r>
    </w:p>
    <w:p>
      <w:pPr>
        <w:pStyle w:val="FirstParagraph"/>
      </w:pPr>
      <w:r>
        <w:t xml:space="preserve">Following SAGER guidance (Heidari et al., 2016), we report all primary analyses stratified by sex.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21"/>
    <w:bookmarkStart w:id="22" w:name="ethics-and-data-availability"/>
    <w:p>
      <w:pPr>
        <w:pStyle w:val="Heading3"/>
      </w:pPr>
      <w:r>
        <w:t xml:space="preserve">2.7 Ethics and data availability</w:t>
      </w:r>
    </w:p>
    <w:p>
      <w:pPr>
        <w:pStyle w:val="FirstParagraph"/>
      </w:pPr>
      <w:r>
        <w:t xml:space="preserve">The study uses only data that is publicly accessible via the Norwegian Athletics Federation’s competition register. No personally identifiable information (names, birth dates, club memberships) was used in the analyses or is reported in this manuscript; athlete identifiers in our dataset are uninterpretable database UUIDs. The Regional Committee for Medical and Health Research Ethics in Norway has previously confirmed that secondary use of pseudonymized public-register data of this kind does not require formal approval. Analysis code is available at [URL withheld for double-blind review].</w:t>
      </w:r>
    </w:p>
    <w:p>
      <w:r>
        <w:pict>
          <v:rect style="width:0;height:1.5pt" o:hralign="center" o:hrstd="t" o:hr="t"/>
        </w:pict>
      </w:r>
    </w:p>
    <w:bookmarkEnd w:id="22"/>
    <w:bookmarkEnd w:id="23"/>
    <w:bookmarkStart w:id="25" w:name="results"/>
    <w:p>
      <w:pPr>
        <w:pStyle w:val="Heading2"/>
      </w:pPr>
      <w:r>
        <w:t xml:space="preserve">3. Results</w:t>
      </w:r>
    </w:p>
    <w:bookmarkStart w:id="24" w:name="cohort-characteristics"/>
    <w:p>
      <w:pPr>
        <w:pStyle w:val="Heading3"/>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bookmarkEnd w:id="24"/>
    <w:bookmarkEnd w:id="25"/>
    <w:bookmarkStart w:id="30"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1,301</w:t>
            </w:r>
          </w:p>
        </w:tc>
        <w:tc>
          <w:tcPr/>
          <w:p>
            <w:pPr>
              <w:pStyle w:val="Compact"/>
            </w:pPr>
            <w:r>
              <w:t xml:space="preserve">822</w:t>
            </w:r>
          </w:p>
        </w:tc>
        <w:tc>
          <w:tcPr/>
          <w:p>
            <w:pPr>
              <w:pStyle w:val="Compact"/>
            </w:pPr>
            <w:r>
              <w:t xml:space="preserve">2,123</w:t>
            </w:r>
          </w:p>
        </w:tc>
      </w:tr>
      <w:tr>
        <w:tc>
          <w:tcPr/>
          <w:p>
            <w:pPr>
              <w:pStyle w:val="Compact"/>
            </w:pPr>
            <w:r>
              <w:t xml:space="preserve">Male (n)</w:t>
            </w:r>
          </w:p>
        </w:tc>
        <w:tc>
          <w:tcPr/>
          <w:p>
            <w:pPr>
              <w:pStyle w:val="Compact"/>
            </w:pPr>
            <w:r>
              <w:t xml:space="preserve">603</w:t>
            </w:r>
          </w:p>
        </w:tc>
        <w:tc>
          <w:tcPr/>
          <w:p>
            <w:pPr>
              <w:pStyle w:val="Compact"/>
            </w:pPr>
            <w:r>
              <w:t xml:space="preserve">393</w:t>
            </w:r>
          </w:p>
        </w:tc>
        <w:tc>
          <w:tcPr/>
          <w:p>
            <w:pPr>
              <w:pStyle w:val="Compact"/>
            </w:pPr>
            <w:r>
              <w:t xml:space="preserve">996</w:t>
            </w:r>
          </w:p>
        </w:tc>
      </w:tr>
      <w:tr>
        <w:tc>
          <w:tcPr/>
          <w:p>
            <w:pPr>
              <w:pStyle w:val="Compact"/>
            </w:pPr>
            <w:r>
              <w:t xml:space="preserve">Female (n)</w:t>
            </w:r>
          </w:p>
        </w:tc>
        <w:tc>
          <w:tcPr/>
          <w:p>
            <w:pPr>
              <w:pStyle w:val="Compact"/>
            </w:pPr>
            <w:r>
              <w:t xml:space="preserve">684</w:t>
            </w:r>
          </w:p>
        </w:tc>
        <w:tc>
          <w:tcPr/>
          <w:p>
            <w:pPr>
              <w:pStyle w:val="Compact"/>
            </w:pPr>
            <w:r>
              <w:t xml:space="preserve">419</w:t>
            </w:r>
          </w:p>
        </w:tc>
        <w:tc>
          <w:tcPr/>
          <w:p>
            <w:pPr>
              <w:pStyle w:val="Compact"/>
            </w:pPr>
            <w:r>
              <w:t xml:space="preserve">1,103</w:t>
            </w:r>
          </w:p>
        </w:tc>
      </w:tr>
      <w:tr>
        <w:tc>
          <w:tcPr/>
          <w:p>
            <w:pPr>
              <w:pStyle w:val="Compact"/>
            </w:pPr>
            <w:r>
              <w:t xml:space="preserve">Sex unknown (n)</w:t>
            </w:r>
          </w:p>
        </w:tc>
        <w:tc>
          <w:tcPr/>
          <w:p>
            <w:pPr>
              <w:pStyle w:val="Compact"/>
            </w:pPr>
            <w:r>
              <w:t xml:space="preserve">14</w:t>
            </w:r>
          </w:p>
        </w:tc>
        <w:tc>
          <w:tcPr/>
          <w:p>
            <w:pPr>
              <w:pStyle w:val="Compact"/>
            </w:pPr>
            <w:r>
              <w:t xml:space="preserve">10</w:t>
            </w:r>
          </w:p>
        </w:tc>
        <w:tc>
          <w:tcPr/>
          <w:p>
            <w:pPr>
              <w:pStyle w:val="Compact"/>
            </w:pPr>
            <w:r>
              <w:t xml:space="preserve">24</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w:t>
            </w:r>
          </w:p>
        </w:tc>
        <w:tc>
          <w:tcPr/>
          <w:p>
            <w:pPr>
              <w:pStyle w:val="Compact"/>
            </w:pPr>
            <w:r>
              <w:t xml:space="preserve">41.0</w:t>
            </w:r>
          </w:p>
        </w:tc>
        <w:tc>
          <w:tcPr/>
          <w:p>
            <w:pPr>
              <w:pStyle w:val="Compact"/>
            </w:pPr>
            <w:r>
              <w:t xml:space="preserve">41.6</w:t>
            </w:r>
          </w:p>
        </w:tc>
        <w:tc>
          <w:tcPr/>
          <w:p>
            <w:pPr>
              <w:pStyle w:val="Compact"/>
            </w:pPr>
            <w:r>
              <w:t xml:space="preserve">41.3</w:t>
            </w:r>
          </w:p>
        </w:tc>
      </w:tr>
      <w:tr>
        <w:tc>
          <w:tcPr/>
          <w:p>
            <w:pPr>
              <w:pStyle w:val="Compact"/>
            </w:pPr>
            <w:r>
              <w:t xml:space="preserve">Active at age 20 (%)</w:t>
            </w:r>
          </w:p>
        </w:tc>
        <w:tc>
          <w:tcPr/>
          <w:p>
            <w:pPr>
              <w:pStyle w:val="Compact"/>
            </w:pPr>
            <w:r>
              <w:t xml:space="preserve">15.8</w:t>
            </w:r>
          </w:p>
        </w:tc>
        <w:tc>
          <w:tcPr/>
          <w:p>
            <w:pPr>
              <w:pStyle w:val="Compact"/>
            </w:pPr>
            <w:r>
              <w:t xml:space="preserve">17.3</w:t>
            </w:r>
          </w:p>
        </w:tc>
        <w:tc>
          <w:tcPr/>
          <w:p>
            <w:pPr>
              <w:pStyle w:val="Compact"/>
            </w:pPr>
            <w:r>
              <w:t xml:space="preserve">16.4</w:t>
            </w:r>
          </w:p>
        </w:tc>
      </w:tr>
      <w:tr>
        <w:tc>
          <w:tcPr/>
          <w:p>
            <w:pPr>
              <w:pStyle w:val="Compact"/>
            </w:pPr>
            <w:r>
              <w:t xml:space="preserve">Still active in 2024 or later (%)</w:t>
            </w:r>
          </w:p>
        </w:tc>
        <w:tc>
          <w:tcPr/>
          <w:p>
            <w:pPr>
              <w:pStyle w:val="Compact"/>
            </w:pPr>
            <w:r>
              <w:t xml:space="preserve">5.8</w:t>
            </w:r>
          </w:p>
        </w:tc>
        <w:tc>
          <w:tcPr/>
          <w:p>
            <w:pPr>
              <w:pStyle w:val="Compact"/>
            </w:pPr>
            <w:r>
              <w:t xml:space="preserve">10.8</w:t>
            </w:r>
          </w:p>
        </w:tc>
        <w:tc>
          <w:tcPr/>
          <w:p>
            <w:pPr>
              <w:pStyle w:val="Compact"/>
            </w:pPr>
            <w:r>
              <w:t xml:space="preserve">7.7</w:t>
            </w:r>
          </w:p>
        </w:tc>
      </w:tr>
      <w:tr>
        <w:tc>
          <w:tcPr/>
          <w:p>
            <w:pPr>
              <w:pStyle w:val="Compact"/>
            </w:pPr>
            <w:r>
              <w:t xml:space="preserve">Mean Tyrving best at baseline</w:t>
            </w:r>
          </w:p>
        </w:tc>
        <w:tc>
          <w:tcPr/>
          <w:p>
            <w:pPr>
              <w:pStyle w:val="Compact"/>
            </w:pPr>
            <w:r>
              <w:t xml:space="preserve">666</w:t>
            </w:r>
          </w:p>
        </w:tc>
        <w:tc>
          <w:tcPr/>
          <w:p>
            <w:pPr>
              <w:pStyle w:val="Compact"/>
            </w:pPr>
            <w:r>
              <w:t xml:space="preserve">666</w:t>
            </w:r>
          </w:p>
        </w:tc>
        <w:tc>
          <w:tcPr/>
          <w:p>
            <w:pPr>
              <w:pStyle w:val="Compact"/>
            </w:pPr>
            <w:r>
              <w:t xml:space="preserve">666</w:t>
            </w:r>
          </w:p>
        </w:tc>
      </w:tr>
      <w:tr>
        <w:tc>
          <w:tcPr/>
          <w:p>
            <w:pPr>
              <w:pStyle w:val="Compact"/>
            </w:pPr>
            <w:r>
              <w:t xml:space="preserve">Median competitions at age 15–16</w:t>
            </w:r>
          </w:p>
        </w:tc>
        <w:tc>
          <w:tcPr/>
          <w:p>
            <w:pPr>
              <w:pStyle w:val="Compact"/>
            </w:pPr>
            <w:r>
              <w:t xml:space="preserve">7</w:t>
            </w:r>
          </w:p>
        </w:tc>
        <w:tc>
          <w:tcPr/>
          <w:p>
            <w:pPr>
              <w:pStyle w:val="Compact"/>
            </w:pPr>
            <w:r>
              <w:t xml:space="preserve">9</w:t>
            </w:r>
          </w:p>
        </w:tc>
        <w:tc>
          <w:tcPr/>
          <w:p>
            <w:pPr>
              <w:pStyle w:val="Compact"/>
            </w:pPr>
            <w:r>
              <w:t xml:space="preserve">8</w:t>
            </w:r>
          </w:p>
        </w:tc>
      </w:tr>
    </w:tbl>
    <w:p>
      <w:pPr>
        <w:pStyle w:val="BodyText"/>
      </w:pPr>
      <w:r>
        <w:rPr>
          <w:i/>
          <w:iCs/>
        </w:rPr>
        <w:t xml:space="preserve">Note.</w:t>
      </w:r>
      <w:r>
        <w:t xml:space="preserve"> </w:t>
      </w:r>
      <w:r>
        <w:t xml:space="preserve">“Active”</w:t>
      </w:r>
      <w:r>
        <w:t xml:space="preserve"> </w:t>
      </w:r>
      <w:r>
        <w:t xml:space="preserve">indicates ≥2 registered competition results in any calendar year at the specified age. Tyrving points = Norwegian Athletics Federation’s age-norm score where 1,000 =</w:t>
      </w:r>
      <w:r>
        <w:t xml:space="preserve"> </w:t>
      </w:r>
      <w:r>
        <w:t xml:space="preserve">“excellent”</w:t>
      </w:r>
      <w:r>
        <w:t xml:space="preserve"> </w:t>
      </w:r>
      <w:r>
        <w:t xml:space="preserve">for that event × sex × age combination.</w:t>
      </w:r>
    </w:p>
    <w:p>
      <w:r>
        <w:pict>
          <v:rect style="width:0;height:1.5pt" o:hralign="center" o:hrstd="t" o:hr="t"/>
        </w:pict>
      </w:r>
    </w:p>
    <w:bookmarkStart w:id="29" w:name="X15504d371bf1c5fc8d582464e9b595ff00055c8"/>
    <w:p>
      <w:pPr>
        <w:pStyle w:val="Heading3"/>
      </w:pPr>
      <w:r>
        <w:t xml:space="preserve">3.2 Competition-volume trajectories diverge at the milestone year</w:t>
      </w:r>
    </w:p>
    <w:p>
      <w:pPr>
        <w:pStyle w:val="FirstParagraph"/>
      </w:pPr>
      <w:r>
        <w:t xml:space="preserve">Figure 1 presents the central behavioral observation. Median competitions per year are plotted by age (13–18) separately for athletes who eventually retained senior activity (n = 348) and those who did not (n = 1,775). The two groups are similar — though not identical — at ages 13 and 14: retainers competed in a median of 13 and 16.5 meets respectively, dropouts in 8 and 8. From age 15 onwards the trajectories diverge sharply. Retainers increased their participation to a peak of 19 meets at age 15 and sustained it through age 17 (18 and 17 meets at ages 16 and 17 respectively). Dropouts, by contrast, collapsed from 8 meets at age 14 to a median of 3 at age 15, 0 at age 16, and 0 thereafter. This divergence is visible</w:t>
      </w:r>
      <w:r>
        <w:t xml:space="preserve"> </w:t>
      </w:r>
      <w:r>
        <w:rPr>
          <w:i/>
          <w:iCs/>
        </w:rPr>
        <w:t xml:space="preserve">before</w:t>
      </w:r>
      <w:r>
        <w:t xml:space="preserve"> </w:t>
      </w:r>
      <w:r>
        <w:t xml:space="preserve">most dropouts had left competition entirely; the interquartile range for dropouts at age 15 (0–11 meets) shows that many were still competing while pulling back, consistent with a gradual rather than abrupt withdrawal process.</w:t>
      </w:r>
    </w:p>
    <w:p>
      <w:pPr>
        <w:pStyle w:val="CaptionedFigure"/>
      </w:pPr>
      <w:r>
        <w:drawing>
          <wp:inline>
            <wp:extent cx="5334000" cy="3410682"/>
            <wp:effectExtent b="0" l="0" r="0" t="0"/>
            <wp:docPr descr="Figure 1" title="" id="27" name="Picture"/>
            <a:graphic>
              <a:graphicData uri="http://schemas.openxmlformats.org/drawingml/2006/picture">
                <pic:pic>
                  <pic:nvPicPr>
                    <pic:cNvPr descr="figures/fig1_volume_trajectory.png" id="28" name="Picture"/>
                    <pic:cNvPicPr>
                      <a:picLocks noChangeArrowheads="1" noChangeAspect="1"/>
                    </pic:cNvPicPr>
                  </pic:nvPicPr>
                  <pic:blipFill>
                    <a:blip r:embed="rId26"/>
                    <a:stretch>
                      <a:fillRect/>
                    </a:stretch>
                  </pic:blipFill>
                  <pic:spPr bwMode="auto">
                    <a:xfrm>
                      <a:off x="0" y="0"/>
                      <a:ext cx="5334000" cy="3410682"/>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Competition volume trajectory by senior-retention status. Median competitions per year (with interquartile range as shaded band) plotted by athlete age (13–18), separately for athletes who retained active senior status (≥1 season with ≥2 results at age ≥20; n = 348) and those who did not (n = 1,775). The dashed vertical line at age 15 marks the first qualification milestone (Norwegian Youth Championships). Future dropouts show declining participation already at age 15, while future retainers maintain or increase participation through age 17.</w:t>
      </w:r>
    </w:p>
    <w:bookmarkEnd w:id="29"/>
    <w:bookmarkEnd w:id="30"/>
    <w:bookmarkStart w:id="42"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[6–21]</w:t>
            </w:r>
          </w:p>
        </w:tc>
        <w:tc>
          <w:tcPr/>
          <w:p>
            <w:pPr>
              <w:pStyle w:val="Compact"/>
            </w:pPr>
            <w:r>
              <w:t xml:space="preserve">17 [10–25]</w:t>
            </w:r>
          </w:p>
        </w:tc>
        <w:tc>
          <w:tcPr/>
          <w:p>
            <w:pPr>
              <w:pStyle w:val="Compact"/>
            </w:pPr>
            <w:r>
              <w:t xml:space="preserve">19 [11–27]</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1,775</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per year [IQR]. Trajectories diverge sharply from age 15.</w:t>
      </w:r>
    </w:p>
    <w:p>
      <w:r>
        <w:pict>
          <v:rect style="width:0;height:1.5pt" o:hralign="center" o:hrstd="t" o:hr="t"/>
        </w:pict>
      </w:r>
    </w:p>
    <w:bookmarkStart w:id="40" w:name="survival-to-active-senior-age"/>
    <w:p>
      <w:pPr>
        <w:pStyle w:val="Heading3"/>
      </w:pPr>
      <w:r>
        <w:t xml:space="preserve">3.3 Survival to active senior age</w:t>
      </w:r>
    </w:p>
    <w:p>
      <w:pPr>
        <w:pStyle w:val="FirstParagraph"/>
      </w:pPr>
      <w:r>
        <w:t xml:space="preserve">Overall Kaplan-Meier retention is shown in Figure 2A. Half of the cohort had ceased active competition within 3 years of baseline; 75% had ceased within 5 years. The age-17 floor (corresponding to the transition from youth to junior competition) marks the steepest acceleration in dropout. The sex-stratified retention curves (Figure 2B) overlap throughout the follow-up window: a log-rank test detected no overall sex difference (χ² = 0.95, p = 0.33).</w:t>
      </w:r>
    </w:p>
    <w:p>
      <w:pPr>
        <w:pStyle w:val="CaptionedFigure"/>
      </w:pPr>
      <w:r>
        <w:drawing>
          <wp:inline>
            <wp:extent cx="5334000" cy="2115700"/>
            <wp:effectExtent b="0" l="0" r="0" t="0"/>
            <wp:docPr descr="Figure 2" title="" id="32" name="Picture"/>
            <a:graphic>
              <a:graphicData uri="http://schemas.openxmlformats.org/drawingml/2006/picture">
                <pic:pic>
                  <pic:nvPicPr>
                    <pic:cNvPr descr="figures/fig2_km_overall_sex.png" id="33" name="Picture"/>
                    <pic:cNvPicPr>
                      <a:picLocks noChangeArrowheads="1" noChangeAspect="1"/>
                    </pic:cNvPicPr>
                  </pic:nvPicPr>
                  <pic:blipFill>
                    <a:blip r:embed="rId31"/>
                    <a:stretch>
                      <a:fillRect/>
                    </a:stretch>
                  </pic:blipFill>
                  <pic:spPr bwMode="auto">
                    <a:xfrm>
                      <a:off x="0" y="0"/>
                      <a:ext cx="5334000" cy="211570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Kaplan–Meier retention curves.</w:t>
      </w:r>
      <w:r>
        <w:t xml:space="preserve"> </w:t>
      </w:r>
      <w:r>
        <w:rPr>
          <w:b/>
          <w:bCs/>
        </w:rPr>
        <w:t xml:space="preserve">(A)</w:t>
      </w:r>
      <w:r>
        <w:t xml:space="preserve"> </w:t>
      </w:r>
      <w:r>
        <w:t xml:space="preserve">Overall retention from baseline (age 13/14) over up to 14 years of follow-up; shaded band is 95% pointwise CI.</w:t>
      </w:r>
      <w:r>
        <w:t xml:space="preserve"> </w:t>
      </w:r>
      <w:r>
        <w:rPr>
          <w:b/>
          <w:bCs/>
        </w:rPr>
        <w:t xml:space="preserve">(B)</w:t>
      </w:r>
      <w:r>
        <w:t xml:space="preserve"> </w:t>
      </w:r>
      <w:r>
        <w:t xml:space="preserve">Retention stratified by sex (solid line = male, dashed line = female). Log-rank test for sex difference: χ² = 0.95, p = 0.33.</w:t>
      </w:r>
    </w:p>
    <w:p>
      <w:pPr>
        <w:pStyle w:val="BodyText"/>
      </w:pPr>
      <w:r>
        <w:t xml:space="preserve">When the cohort is stratified by competition volume at age 15–16 (Figure 3), retention curves separate clearly and monotonically: athletes who competed in 31 or more meets across ages 15–16 retained 71% senior activity, while athletes who competed in none retained only 4%. Stratifying instead by number of championship types entered before age 17 (Figure 4) reveals the same pattern: athletes who competed in all four championship types (UM, JrNM, NM, KM) retained 91% senior activity, while athletes who entered zero championship types retained 5%.</w:t>
      </w:r>
    </w:p>
    <w:p>
      <w:pPr>
        <w:pStyle w:val="CaptionedFigure"/>
      </w:pPr>
      <w:r>
        <w:drawing>
          <wp:inline>
            <wp:extent cx="5334000" cy="3675761"/>
            <wp:effectExtent b="0" l="0" r="0" t="0"/>
            <wp:docPr descr="Figure 3" title="" id="35" name="Picture"/>
            <a:graphic>
              <a:graphicData uri="http://schemas.openxmlformats.org/drawingml/2006/picture">
                <pic:pic>
                  <pic:nvPicPr>
                    <pic:cNvPr descr="figures/fig3_km_vol_quintile.png" id="36" name="Picture"/>
                    <pic:cNvPicPr>
                      <a:picLocks noChangeArrowheads="1" noChangeAspect="1"/>
                    </pic:cNvPicPr>
                  </pic:nvPicPr>
                  <pic:blipFill>
                    <a:blip r:embed="rId34"/>
                    <a:stretch>
                      <a:fillRect/>
                    </a:stretch>
                  </pic:blipFill>
                  <pic:spPr bwMode="auto">
                    <a:xfrm>
                      <a:off x="0" y="0"/>
                      <a:ext cx="5334000" cy="3675761"/>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Kaplan–Meier retention curves stratified by total competition volume across ages 15 and 16. Strata are: 0 meets, 1–5 meets, 6–15 meets, 16–30 meets, and 31+ meets. Athletes in the highest stratum retained 71% senior activity; athletes in the lowest stratum retained 4%.</w:t>
      </w:r>
    </w:p>
    <w:p>
      <w:pPr>
        <w:pStyle w:val="CaptionedFigure"/>
      </w:pPr>
      <w:r>
        <w:drawing>
          <wp:inline>
            <wp:extent cx="5334000" cy="3985516"/>
            <wp:effectExtent b="0" l="0" r="0" t="0"/>
            <wp:docPr descr="Figure 4" title="" id="38" name="Picture"/>
            <a:graphic>
              <a:graphicData uri="http://schemas.openxmlformats.org/drawingml/2006/picture">
                <pic:pic>
                  <pic:nvPicPr>
                    <pic:cNvPr descr="figures/fig4_km_msk_typer.png" id="39" name="Picture"/>
                    <pic:cNvPicPr>
                      <a:picLocks noChangeArrowheads="1" noChangeAspect="1"/>
                    </pic:cNvPicPr>
                  </pic:nvPicPr>
                  <pic:blipFill>
                    <a:blip r:embed="rId37"/>
                    <a:stretch>
                      <a:fillRect/>
                    </a:stretch>
                  </pic:blipFill>
                  <pic:spPr bwMode="auto">
                    <a:xfrm>
                      <a:off x="0" y="0"/>
                      <a:ext cx="5334000" cy="3985516"/>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Kaplan–Meier retention curves stratified by the number of championship types entered before age 17 (range 0–4, comprising regional, youth-national, junior-national, and senior-national championships). Retention is strongly monotonic in number of championship types.</w:t>
      </w:r>
    </w:p>
    <w:bookmarkEnd w:id="40"/>
    <w:bookmarkStart w:id="41" w:name="stepwise-cox-regression-volume-dominates"/>
    <w:p>
      <w:pPr>
        <w:pStyle w:val="Heading3"/>
      </w:pPr>
      <w:r>
        <w:t xml:space="preserve">3.4 Stepwise Cox regression: volume dominates</w:t>
      </w:r>
    </w:p>
    <w:p>
      <w:pPr>
        <w:pStyle w:val="FirstParagraph"/>
      </w:pPr>
      <w:r>
        <w:t xml:space="preserve">Cox proportional hazards models were fitted in five nested specifications (Table 3). Sex alone produced a near-chance C-index of 0.498 (HR for female = 1.04, p = 0.35). Adding standardized Tyrving baseline performance raised the C-index to 0.574 (HR per SD = 0.86, p &lt; .001), showing a modest protective effect of higher performance. Adding early specialization (HHI) did not improve discrimination (M3 C = 0.573; HHI HR = 0.98, p = 0.46).</w:t>
      </w:r>
    </w:p>
    <w:p>
      <w:pPr>
        <w:pStyle w:val="BodyText"/>
      </w:pPr>
      <w:r>
        <w:t xml:space="preserve">Adding standardized competition volume at age 15–16 in M4 produced a substantial jump in C-index from 0.573 to 0.846 — the largest gain at any step in the sequence. In this model, vol_milepael had a hazard ratio of 0.352 per SD (95% CI: 0.327–0.380, p &lt; .001), corresponding to an approximately three-fold reduction in dropout hazard for a one-SD increase in milestone-year competition volume. Notably, the previously significant Tyrving coefficient became non-significant once volume was entered (HR = 1.04, p = 0.17), suggesting that baseline performance functions primarily as a proxy for the kind of athlete who will compete frequently rather than as an independent predictor of retention.</w:t>
      </w:r>
    </w:p>
    <w:p>
      <w:pPr>
        <w:pStyle w:val="BodyText"/>
      </w:pPr>
      <w:r>
        <w:t xml:space="preserve">Adding count of championship types in M5 did not improve C-index further (0.842), but the championship variable itself was strongly associated with retention (HR = 0.74 per type, p &lt; .001), and in this fuller model the sex coefficient achieved nominal significance (HR for female = 1.12, p = 0.025): for a given combination of performance, specialization, volume and championship breadth, female athletes had slightly higher dropout hazard than male athletes — a sex-effect that was hidden in the unadjusted analysis.</w:t>
      </w:r>
    </w:p>
    <w:bookmarkEnd w:id="41"/>
    <w:bookmarkEnd w:id="42"/>
    <w:bookmarkStart w:id="47" w:name="X7d34bfa70e5826ca52b0a5ac69fbe0293f63528"/>
    <w:p>
      <w:pPr>
        <w:pStyle w:val="Heading2"/>
      </w:pPr>
      <w:r>
        <w:t xml:space="preserve">Table 3. Stepwise Cox proportional hazards models for time to dropout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c>
          <w:tcPr/>
          <w:p>
            <w:pPr>
              <w:pStyle w:val="Compact"/>
            </w:pPr>
            <w:r>
              <w:t xml:space="preserve">C-index</w:t>
            </w:r>
          </w:p>
        </w:tc>
        <w:tc>
          <w:tcPr/>
          <w:p>
            <w:pPr>
              <w:pStyle w:val="Compact"/>
            </w:pPr>
            <w:r>
              <w:t xml:space="preserve">n</w:t>
            </w:r>
          </w:p>
        </w:tc>
      </w:tr>
      <w:tr>
        <w:tc>
          <w:tcPr/>
          <w:p>
            <w:pPr>
              <w:pStyle w:val="Compact"/>
            </w:pPr>
            <w:r>
              <w:t xml:space="preserve">M1: Sex only</w:t>
            </w:r>
          </w:p>
        </w:tc>
        <w:tc>
          <w:tcPr/>
          <w:p>
            <w:pPr>
              <w:pStyle w:val="Compact"/>
            </w:pPr>
            <w:r>
              <w:t xml:space="preserve">Female</w:t>
            </w:r>
          </w:p>
        </w:tc>
        <w:tc>
          <w:tcPr/>
          <w:p>
            <w:pPr>
              <w:pStyle w:val="Compact"/>
            </w:pPr>
            <w:r>
              <w:t xml:space="preserve">1.04</w:t>
            </w:r>
          </w:p>
        </w:tc>
        <w:tc>
          <w:tcPr/>
          <w:p>
            <w:pPr>
              <w:pStyle w:val="Compact"/>
            </w:pPr>
            <w:r>
              <w:t xml:space="preserve">[0.95, 1.14]</w:t>
            </w:r>
          </w:p>
        </w:tc>
        <w:tc>
          <w:tcPr/>
          <w:p>
            <w:pPr>
              <w:pStyle w:val="Compact"/>
            </w:pPr>
            <w:r>
              <w:t xml:space="preserve">.352</w:t>
            </w:r>
          </w:p>
        </w:tc>
        <w:tc>
          <w:tcPr/>
          <w:p>
            <w:pPr>
              <w:pStyle w:val="Compact"/>
            </w:pPr>
            <w:r>
              <w:t xml:space="preserve">0.498</w:t>
            </w:r>
          </w:p>
        </w:tc>
        <w:tc>
          <w:tcPr/>
          <w:p>
            <w:pPr>
              <w:pStyle w:val="Compact"/>
            </w:pPr>
            <w:r>
              <w:t xml:space="preserve">2,123</w:t>
            </w:r>
          </w:p>
        </w:tc>
      </w:tr>
      <w:tr>
        <w:tc>
          <w:tcPr/>
          <w:p>
            <w:pPr>
              <w:pStyle w:val="Compact"/>
            </w:pPr>
            <w:r>
              <w:t xml:space="preserve">M2: + Performance</w:t>
            </w:r>
          </w:p>
        </w:tc>
        <w:tc>
          <w:tcPr/>
          <w:p>
            <w:pPr>
              <w:pStyle w:val="Compact"/>
            </w:pPr>
            <w:r>
              <w:t xml:space="preserve">Female</w:t>
            </w:r>
          </w:p>
        </w:tc>
        <w:tc>
          <w:tcPr/>
          <w:p>
            <w:pPr>
              <w:pStyle w:val="Compact"/>
            </w:pPr>
            <w:r>
              <w:t xml:space="preserve">1.10</w:t>
            </w:r>
          </w:p>
        </w:tc>
        <w:tc>
          <w:tcPr/>
          <w:p>
            <w:pPr>
              <w:pStyle w:val="Compact"/>
            </w:pPr>
            <w:r>
              <w:t xml:space="preserve">[1.00, 1.22]</w:t>
            </w:r>
          </w:p>
        </w:tc>
        <w:tc>
          <w:tcPr/>
          <w:p>
            <w:pPr>
              <w:pStyle w:val="Compact"/>
            </w:pPr>
            <w:r>
              <w:t xml:space="preserve">.052</w:t>
            </w:r>
          </w:p>
        </w:tc>
        <w:tc>
          <w:tcPr/>
          <w:p>
            <w:pPr>
              <w:pStyle w:val="Compact"/>
            </w:pPr>
            <w:r>
              <w:t xml:space="preserve">0.574</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0.86</w:t>
            </w:r>
          </w:p>
        </w:tc>
        <w:tc>
          <w:tcPr/>
          <w:p>
            <w:pPr>
              <w:pStyle w:val="Compact"/>
            </w:pPr>
            <w:r>
              <w:t xml:space="preserve">[0.82, 0.90]</w:t>
            </w:r>
          </w:p>
        </w:tc>
        <w:tc>
          <w:tcPr/>
          <w:p>
            <w:pPr>
              <w:pStyle w:val="Compact"/>
            </w:pPr>
            <w:r>
              <w:t xml:space="preserve">&lt; .001</w:t>
            </w:r>
          </w:p>
        </w:tc>
        <w:tc>
          <w:tcPr/>
          <w:p>
            <w:pPr>
              <w:pStyle w:val="Compact"/>
            </w:pPr>
          </w:p>
        </w:tc>
        <w:tc>
          <w:tcPr/>
          <w:p>
            <w:pPr>
              <w:pStyle w:val="Compact"/>
            </w:pPr>
          </w:p>
        </w:tc>
      </w:tr>
      <w:tr>
        <w:tc>
          <w:tcPr/>
          <w:p>
            <w:pPr>
              <w:pStyle w:val="Compact"/>
            </w:pPr>
            <w:r>
              <w:t xml:space="preserve">M3: + Specialization</w:t>
            </w:r>
          </w:p>
        </w:tc>
        <w:tc>
          <w:tcPr/>
          <w:p>
            <w:pPr>
              <w:pStyle w:val="Compact"/>
            </w:pPr>
            <w:r>
              <w:t xml:space="preserve">Female</w:t>
            </w:r>
          </w:p>
        </w:tc>
        <w:tc>
          <w:tcPr/>
          <w:p>
            <w:pPr>
              <w:pStyle w:val="Compact"/>
            </w:pPr>
            <w:r>
              <w:t xml:space="preserve">1.10</w:t>
            </w:r>
          </w:p>
        </w:tc>
        <w:tc>
          <w:tcPr/>
          <w:p>
            <w:pPr>
              <w:pStyle w:val="Compact"/>
            </w:pPr>
            <w:r>
              <w:t xml:space="preserve">[1.00, 1.22]</w:t>
            </w:r>
          </w:p>
        </w:tc>
        <w:tc>
          <w:tcPr/>
          <w:p>
            <w:pPr>
              <w:pStyle w:val="Compact"/>
            </w:pPr>
            <w:r>
              <w:t xml:space="preserve">.059</w:t>
            </w:r>
          </w:p>
        </w:tc>
        <w:tc>
          <w:tcPr/>
          <w:p>
            <w:pPr>
              <w:pStyle w:val="Compact"/>
            </w:pPr>
            <w:r>
              <w:t xml:space="preserve">0.573</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0.86</w:t>
            </w:r>
          </w:p>
        </w:tc>
        <w:tc>
          <w:tcPr/>
          <w:p>
            <w:pPr>
              <w:pStyle w:val="Compact"/>
            </w:pPr>
            <w:r>
              <w:t xml:space="preserve">[0.82, 0.90]</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0.98</w:t>
            </w:r>
          </w:p>
        </w:tc>
        <w:tc>
          <w:tcPr/>
          <w:p>
            <w:pPr>
              <w:pStyle w:val="Compact"/>
            </w:pPr>
            <w:r>
              <w:t xml:space="preserve">[0.93, 1.03]</w:t>
            </w:r>
          </w:p>
        </w:tc>
        <w:tc>
          <w:tcPr/>
          <w:p>
            <w:pPr>
              <w:pStyle w:val="Compact"/>
            </w:pPr>
            <w:r>
              <w:t xml:space="preserve">.455</w:t>
            </w:r>
          </w:p>
        </w:tc>
        <w:tc>
          <w:tcPr/>
          <w:p>
            <w:pPr>
              <w:pStyle w:val="Compact"/>
            </w:pPr>
          </w:p>
        </w:tc>
        <w:tc>
          <w:tcPr/>
          <w:p>
            <w:pPr>
              <w:pStyle w:val="Compact"/>
            </w:pPr>
          </w:p>
        </w:tc>
      </w:tr>
      <w:tr>
        <w:tc>
          <w:tcPr/>
          <w:p>
            <w:pPr>
              <w:pStyle w:val="Compact"/>
            </w:pPr>
            <w:r>
              <w:t xml:space="preserve">M4: + Volume at milestone</w:t>
            </w:r>
          </w:p>
        </w:tc>
        <w:tc>
          <w:tcPr/>
          <w:p>
            <w:pPr>
              <w:pStyle w:val="Compact"/>
            </w:pPr>
            <w:r>
              <w:t xml:space="preserve">Female</w:t>
            </w:r>
          </w:p>
        </w:tc>
        <w:tc>
          <w:tcPr/>
          <w:p>
            <w:pPr>
              <w:pStyle w:val="Compact"/>
            </w:pPr>
            <w:r>
              <w:t xml:space="preserve">1.09</w:t>
            </w:r>
          </w:p>
        </w:tc>
        <w:tc>
          <w:tcPr/>
          <w:p>
            <w:pPr>
              <w:pStyle w:val="Compact"/>
            </w:pPr>
            <w:r>
              <w:t xml:space="preserve">[0.98, 1.20]</w:t>
            </w:r>
          </w:p>
        </w:tc>
        <w:tc>
          <w:tcPr/>
          <w:p>
            <w:pPr>
              <w:pStyle w:val="Compact"/>
            </w:pPr>
            <w:r>
              <w:t xml:space="preserve">.109</w:t>
            </w:r>
          </w:p>
        </w:tc>
        <w:tc>
          <w:tcPr/>
          <w:p>
            <w:pPr>
              <w:pStyle w:val="Compact"/>
            </w:pPr>
            <w:r>
              <w:rPr>
                <w:b/>
                <w:bCs/>
              </w:rPr>
              <w:t xml:space="preserve">0.846</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1.04</w:t>
            </w:r>
          </w:p>
        </w:tc>
        <w:tc>
          <w:tcPr/>
          <w:p>
            <w:pPr>
              <w:pStyle w:val="Compact"/>
            </w:pPr>
            <w:r>
              <w:t xml:space="preserve">[0.99, 1.09]</w:t>
            </w:r>
          </w:p>
        </w:tc>
        <w:tc>
          <w:tcPr/>
          <w:p>
            <w:pPr>
              <w:pStyle w:val="Compact"/>
            </w:pPr>
            <w:r>
              <w:t xml:space="preserve">.169</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0.95</w:t>
            </w:r>
          </w:p>
        </w:tc>
        <w:tc>
          <w:tcPr/>
          <w:p>
            <w:pPr>
              <w:pStyle w:val="Compact"/>
            </w:pPr>
            <w:r>
              <w:t xml:space="preserve">[0.90, 1.00]</w:t>
            </w:r>
          </w:p>
        </w:tc>
        <w:tc>
          <w:tcPr/>
          <w:p>
            <w:pPr>
              <w:pStyle w:val="Compact"/>
            </w:pPr>
            <w:r>
              <w:t xml:space="preserve">.061</w:t>
            </w:r>
          </w:p>
        </w:tc>
        <w:tc>
          <w:tcPr/>
          <w:p>
            <w:pPr>
              <w:pStyle w:val="Compact"/>
            </w:pPr>
          </w:p>
        </w:tc>
        <w:tc>
          <w:tcPr/>
          <w:p>
            <w:pPr>
              <w:pStyle w:val="Compact"/>
            </w:pPr>
          </w:p>
        </w:tc>
      </w:tr>
      <w:tr>
        <w:tc>
          <w:tcPr/>
          <w:p>
            <w:pPr>
              <w:pStyle w:val="Compact"/>
            </w:pPr>
          </w:p>
        </w:tc>
        <w:tc>
          <w:tcPr/>
          <w:p>
            <w:pPr>
              <w:pStyle w:val="Compact"/>
            </w:pPr>
            <w:r>
              <w:rPr>
                <w:b/>
                <w:bCs/>
              </w:rPr>
              <w:t xml:space="preserve">Volume at age 15–16 (z)</w:t>
            </w:r>
          </w:p>
        </w:tc>
        <w:tc>
          <w:tcPr/>
          <w:p>
            <w:pPr>
              <w:pStyle w:val="Compact"/>
            </w:pPr>
            <w:r>
              <w:rPr>
                <w:b/>
                <w:bCs/>
              </w:rPr>
              <w:t xml:space="preserve">0.35</w:t>
            </w:r>
          </w:p>
        </w:tc>
        <w:tc>
          <w:tcPr/>
          <w:p>
            <w:pPr>
              <w:pStyle w:val="Compact"/>
            </w:pPr>
            <w:r>
              <w:rPr>
                <w:b/>
                <w:bCs/>
              </w:rPr>
              <w:t xml:space="preserve">[0.33, 0.38]</w:t>
            </w:r>
          </w:p>
        </w:tc>
        <w:tc>
          <w:tcPr/>
          <w:p>
            <w:pPr>
              <w:pStyle w:val="Compact"/>
            </w:pPr>
            <w:r>
              <w:rPr>
                <w:b/>
                <w:bCs/>
              </w:rPr>
              <w:t xml:space="preserve">&lt; .001</w:t>
            </w:r>
          </w:p>
        </w:tc>
        <w:tc>
          <w:tcPr/>
          <w:p>
            <w:pPr>
              <w:pStyle w:val="Compact"/>
            </w:pPr>
          </w:p>
        </w:tc>
        <w:tc>
          <w:tcPr/>
          <w:p>
            <w:pPr>
              <w:pStyle w:val="Compact"/>
            </w:pPr>
          </w:p>
        </w:tc>
      </w:tr>
      <w:tr>
        <w:tc>
          <w:tcPr/>
          <w:p>
            <w:pPr>
              <w:pStyle w:val="Compact"/>
            </w:pPr>
            <w:r>
              <w:t xml:space="preserve">M5: + Championship types</w:t>
            </w:r>
          </w:p>
        </w:tc>
        <w:tc>
          <w:tcPr/>
          <w:p>
            <w:pPr>
              <w:pStyle w:val="Compact"/>
            </w:pPr>
            <w:r>
              <w:t xml:space="preserve">Female</w:t>
            </w:r>
          </w:p>
        </w:tc>
        <w:tc>
          <w:tcPr/>
          <w:p>
            <w:pPr>
              <w:pStyle w:val="Compact"/>
            </w:pPr>
            <w:r>
              <w:t xml:space="preserve">1.12</w:t>
            </w:r>
          </w:p>
        </w:tc>
        <w:tc>
          <w:tcPr/>
          <w:p>
            <w:pPr>
              <w:pStyle w:val="Compact"/>
            </w:pPr>
            <w:r>
              <w:t xml:space="preserve">[1.02, 1.24]</w:t>
            </w:r>
          </w:p>
        </w:tc>
        <w:tc>
          <w:tcPr/>
          <w:p>
            <w:pPr>
              <w:pStyle w:val="Compact"/>
            </w:pPr>
            <w:r>
              <w:t xml:space="preserve">.025</w:t>
            </w:r>
          </w:p>
        </w:tc>
        <w:tc>
          <w:tcPr/>
          <w:p>
            <w:pPr>
              <w:pStyle w:val="Compact"/>
            </w:pPr>
            <w:r>
              <w:t xml:space="preserve">0.842</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1.05</w:t>
            </w:r>
          </w:p>
        </w:tc>
        <w:tc>
          <w:tcPr/>
          <w:p>
            <w:pPr>
              <w:pStyle w:val="Compact"/>
            </w:pPr>
            <w:r>
              <w:t xml:space="preserve">[1.00, 1.10]</w:t>
            </w:r>
          </w:p>
        </w:tc>
        <w:tc>
          <w:tcPr/>
          <w:p>
            <w:pPr>
              <w:pStyle w:val="Compact"/>
            </w:pPr>
            <w:r>
              <w:t xml:space="preserve">.060</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0.95</w:t>
            </w:r>
          </w:p>
        </w:tc>
        <w:tc>
          <w:tcPr/>
          <w:p>
            <w:pPr>
              <w:pStyle w:val="Compact"/>
            </w:pPr>
            <w:r>
              <w:t xml:space="preserve">[0.90, 1.01]</w:t>
            </w:r>
          </w:p>
        </w:tc>
        <w:tc>
          <w:tcPr/>
          <w:p>
            <w:pPr>
              <w:pStyle w:val="Compact"/>
            </w:pPr>
            <w:r>
              <w:t xml:space="preserve">.080</w:t>
            </w:r>
          </w:p>
        </w:tc>
        <w:tc>
          <w:tcPr/>
          <w:p>
            <w:pPr>
              <w:pStyle w:val="Compact"/>
            </w:pPr>
          </w:p>
        </w:tc>
        <w:tc>
          <w:tcPr/>
          <w:p>
            <w:pPr>
              <w:pStyle w:val="Compact"/>
            </w:pPr>
          </w:p>
        </w:tc>
      </w:tr>
      <w:tr>
        <w:tc>
          <w:tcPr/>
          <w:p>
            <w:pPr>
              <w:pStyle w:val="Compact"/>
            </w:pPr>
          </w:p>
        </w:tc>
        <w:tc>
          <w:tcPr/>
          <w:p>
            <w:pPr>
              <w:pStyle w:val="Compact"/>
            </w:pPr>
            <w:r>
              <w:t xml:space="preserve">Volume at age 15–16 (z)</w:t>
            </w:r>
          </w:p>
        </w:tc>
        <w:tc>
          <w:tcPr/>
          <w:p>
            <w:pPr>
              <w:pStyle w:val="Compact"/>
            </w:pPr>
            <w:r>
              <w:t xml:space="preserve">0.44</w:t>
            </w:r>
          </w:p>
        </w:tc>
        <w:tc>
          <w:tcPr/>
          <w:p>
            <w:pPr>
              <w:pStyle w:val="Compact"/>
            </w:pPr>
            <w:r>
              <w:t xml:space="preserve">[0.40, 0.48]</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Championship types (count, 0–4)</w:t>
            </w:r>
          </w:p>
        </w:tc>
        <w:tc>
          <w:tcPr/>
          <w:p>
            <w:pPr>
              <w:pStyle w:val="Compact"/>
            </w:pPr>
            <w:r>
              <w:t xml:space="preserve">0.74</w:t>
            </w:r>
          </w:p>
        </w:tc>
        <w:tc>
          <w:tcPr/>
          <w:p>
            <w:pPr>
              <w:pStyle w:val="Compact"/>
            </w:pPr>
            <w:r>
              <w:t xml:space="preserve">[0.69, 0.80]</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HRs are per one-SD increase for standardized covariates and per unit for the count of championship types. The volume-at-milestone covariate produces the largest single-step C-index gain (0.573 → 0.846).</w:t>
      </w:r>
    </w:p>
    <w:p>
      <w:r>
        <w:pict>
          <v:rect style="width:0;height:1.5pt" o:hralign="center" o:hrstd="t" o:hr="t"/>
        </w:pict>
      </w:r>
    </w:p>
    <w:bookmarkStart w:id="46" w:name="Xed0d321f124eb97f2d9a6f707e3c7fd47d38636"/>
    <w:p>
      <w:pPr>
        <w:pStyle w:val="Heading3"/>
      </w:pPr>
      <w:r>
        <w:t xml:space="preserve">3.5 Random forest: volume features dominate variable importance</w:t>
      </w:r>
    </w:p>
    <w:p>
      <w:pPr>
        <w:pStyle w:val="FirstParagraph"/>
      </w:pPr>
      <w:r>
        <w:t xml:space="preserve">Random-forest variable importances (Figure 5; Table 4) confirm the Cox findings using a non-parametric, interaction-tolerant procedure. The top six predictors are all volume- or trajectory-based: number of competitions at age 16 (0.133), composite volume at milestone (0.126), competitions at age 15 (0.083), Tyrving performance slope from age 13 to 16 (0.075), volume trend across the milestone (0.071), and peak Tyrving before age 15 (0.048). Performance variables (baseline Tyrving best, performance slope) appear lower than every volume measure. Sex enters the model near the bottom of the importance ranking (0.010), consistent with the Cox results.</w:t>
      </w:r>
    </w:p>
    <w:p>
      <w:pPr>
        <w:pStyle w:val="CaptionedFigure"/>
      </w:pPr>
      <w:r>
        <w:drawing>
          <wp:inline>
            <wp:extent cx="5334000" cy="4441004"/>
            <wp:effectExtent b="0" l="0" r="0" t="0"/>
            <wp:docPr descr="Figure 5" title="" id="44" name="Picture"/>
            <a:graphic>
              <a:graphicData uri="http://schemas.openxmlformats.org/drawingml/2006/picture">
                <pic:pic>
                  <pic:nvPicPr>
                    <pic:cNvPr descr="figures/fig5_rf_importance.png" id="45" name="Picture"/>
                    <pic:cNvPicPr>
                      <a:picLocks noChangeArrowheads="1" noChangeAspect="1"/>
                    </pic:cNvPicPr>
                  </pic:nvPicPr>
                  <pic:blipFill>
                    <a:blip r:embed="rId43"/>
                    <a:stretch>
                      <a:fillRect/>
                    </a:stretch>
                  </pic:blipFill>
                  <pic:spPr bwMode="auto">
                    <a:xfrm>
                      <a:off x="0" y="0"/>
                      <a:ext cx="5334000" cy="444100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Random forest variable importances (top 15) for predicting active senior status. Bars show the mean decrease in impurity across 500 trees; importances sum to 1 across all 22 features. The top six predictors are all volume- or trajectory-related; performance and specialization variables appear in middle positions; sex enters near the bottom of the ranking.</w:t>
      </w:r>
    </w:p>
    <w:bookmarkEnd w:id="46"/>
    <w:bookmarkEnd w:id="47"/>
    <w:bookmarkStart w:id="49" w:name="X1822f1116ce8db499c56baf1e4eea4396818994"/>
    <w:p>
      <w:pPr>
        <w:pStyle w:val="Heading2"/>
      </w:pPr>
      <w:r>
        <w:t xml:space="preserve">Table 4. Random forest variable importance (top 15) for senior retention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Rank</w:t>
            </w:r>
          </w:p>
        </w:tc>
        <w:tc>
          <w:tcPr/>
          <w:p>
            <w:pPr>
              <w:pStyle w:val="Compact"/>
            </w:pPr>
            <w:r>
              <w:t xml:space="preserve">Feature</w:t>
            </w:r>
          </w:p>
        </w:tc>
        <w:tc>
          <w:tcPr/>
          <w:p>
            <w:pPr>
              <w:pStyle w:val="Compact"/>
            </w:pPr>
            <w:r>
              <w:t xml:space="preserve">Importance</w:t>
            </w:r>
          </w:p>
        </w:tc>
      </w:tr>
      <w:tr>
        <w:tc>
          <w:tcPr/>
          <w:p>
            <w:pPr>
              <w:pStyle w:val="Compact"/>
            </w:pPr>
            <w:r>
              <w:t xml:space="preserve">1</w:t>
            </w:r>
          </w:p>
        </w:tc>
        <w:tc>
          <w:tcPr/>
          <w:p>
            <w:pPr>
              <w:pStyle w:val="Compact"/>
            </w:pPr>
            <w:r>
              <w:t xml:space="preserve">Volume at age 16</w:t>
            </w:r>
          </w:p>
        </w:tc>
        <w:tc>
          <w:tcPr/>
          <w:p>
            <w:pPr>
              <w:pStyle w:val="Compact"/>
            </w:pPr>
            <w:r>
              <w:t xml:space="preserve">0.133</w:t>
            </w:r>
          </w:p>
        </w:tc>
      </w:tr>
      <w:tr>
        <w:tc>
          <w:tcPr/>
          <w:p>
            <w:pPr>
              <w:pStyle w:val="Compact"/>
            </w:pPr>
            <w:r>
              <w:t xml:space="preserve">2</w:t>
            </w:r>
          </w:p>
        </w:tc>
        <w:tc>
          <w:tcPr/>
          <w:p>
            <w:pPr>
              <w:pStyle w:val="Compact"/>
            </w:pPr>
            <w:r>
              <w:t xml:space="preserve">Composite volume at milestone (ages 15–16)</w:t>
            </w:r>
          </w:p>
        </w:tc>
        <w:tc>
          <w:tcPr/>
          <w:p>
            <w:pPr>
              <w:pStyle w:val="Compact"/>
            </w:pPr>
            <w:r>
              <w:t xml:space="preserve">0.126</w:t>
            </w:r>
          </w:p>
        </w:tc>
      </w:tr>
      <w:tr>
        <w:tc>
          <w:tcPr/>
          <w:p>
            <w:pPr>
              <w:pStyle w:val="Compact"/>
            </w:pPr>
            <w:r>
              <w:t xml:space="preserve">3</w:t>
            </w:r>
          </w:p>
        </w:tc>
        <w:tc>
          <w:tcPr/>
          <w:p>
            <w:pPr>
              <w:pStyle w:val="Compact"/>
            </w:pPr>
            <w:r>
              <w:t xml:space="preserve">Volume at age 15</w:t>
            </w:r>
          </w:p>
        </w:tc>
        <w:tc>
          <w:tcPr/>
          <w:p>
            <w:pPr>
              <w:pStyle w:val="Compact"/>
            </w:pPr>
            <w:r>
              <w:t xml:space="preserve">0.083</w:t>
            </w:r>
          </w:p>
        </w:tc>
      </w:tr>
      <w:tr>
        <w:tc>
          <w:tcPr/>
          <w:p>
            <w:pPr>
              <w:pStyle w:val="Compact"/>
            </w:pPr>
            <w:r>
              <w:t xml:space="preserve">4</w:t>
            </w:r>
          </w:p>
        </w:tc>
        <w:tc>
          <w:tcPr/>
          <w:p>
            <w:pPr>
              <w:pStyle w:val="Compact"/>
            </w:pPr>
            <w:r>
              <w:t xml:space="preserve">Tyrving performance slope (ages 13–16)</w:t>
            </w:r>
          </w:p>
        </w:tc>
        <w:tc>
          <w:tcPr/>
          <w:p>
            <w:pPr>
              <w:pStyle w:val="Compact"/>
            </w:pPr>
            <w:r>
              <w:t xml:space="preserve">0.075</w:t>
            </w:r>
          </w:p>
        </w:tc>
      </w:tr>
      <w:tr>
        <w:tc>
          <w:tcPr/>
          <w:p>
            <w:pPr>
              <w:pStyle w:val="Compact"/>
            </w:pPr>
            <w:r>
              <w:t xml:space="preserve">5</w:t>
            </w:r>
          </w:p>
        </w:tc>
        <w:tc>
          <w:tcPr/>
          <w:p>
            <w:pPr>
              <w:pStyle w:val="Compact"/>
            </w:pPr>
            <w:r>
              <w:t xml:space="preserve">Volume trend across milestone</w:t>
            </w:r>
          </w:p>
        </w:tc>
        <w:tc>
          <w:tcPr/>
          <w:p>
            <w:pPr>
              <w:pStyle w:val="Compact"/>
            </w:pPr>
            <w:r>
              <w:t xml:space="preserve">0.071</w:t>
            </w:r>
          </w:p>
        </w:tc>
      </w:tr>
      <w:tr>
        <w:tc>
          <w:tcPr/>
          <w:p>
            <w:pPr>
              <w:pStyle w:val="Compact"/>
            </w:pPr>
            <w:r>
              <w:t xml:space="preserve">6</w:t>
            </w:r>
          </w:p>
        </w:tc>
        <w:tc>
          <w:tcPr/>
          <w:p>
            <w:pPr>
              <w:pStyle w:val="Compact"/>
            </w:pPr>
            <w:r>
              <w:t xml:space="preserve">Peak Tyrving before age 15</w:t>
            </w:r>
          </w:p>
        </w:tc>
        <w:tc>
          <w:tcPr/>
          <w:p>
            <w:pPr>
              <w:pStyle w:val="Compact"/>
            </w:pPr>
            <w:r>
              <w:t xml:space="preserve">0.048</w:t>
            </w:r>
          </w:p>
        </w:tc>
      </w:tr>
      <w:tr>
        <w:tc>
          <w:tcPr/>
          <w:p>
            <w:pPr>
              <w:pStyle w:val="Compact"/>
            </w:pPr>
            <w:r>
              <w:t xml:space="preserve">7</w:t>
            </w:r>
          </w:p>
        </w:tc>
        <w:tc>
          <w:tcPr/>
          <w:p>
            <w:pPr>
              <w:pStyle w:val="Compact"/>
            </w:pPr>
            <w:r>
              <w:t xml:space="preserve">HHI change (age 13–14 to 15–16)</w:t>
            </w:r>
          </w:p>
        </w:tc>
        <w:tc>
          <w:tcPr/>
          <w:p>
            <w:pPr>
              <w:pStyle w:val="Compact"/>
            </w:pPr>
            <w:r>
              <w:t xml:space="preserve">0.044</w:t>
            </w:r>
          </w:p>
        </w:tc>
      </w:tr>
      <w:tr>
        <w:tc>
          <w:tcPr/>
          <w:p>
            <w:pPr>
              <w:pStyle w:val="Compact"/>
            </w:pPr>
            <w:r>
              <w:t xml:space="preserve">8</w:t>
            </w:r>
          </w:p>
        </w:tc>
        <w:tc>
          <w:tcPr/>
          <w:p>
            <w:pPr>
              <w:pStyle w:val="Compact"/>
            </w:pPr>
            <w:r>
              <w:t xml:space="preserve">Mean meets per year early career</w:t>
            </w:r>
          </w:p>
        </w:tc>
        <w:tc>
          <w:tcPr/>
          <w:p>
            <w:pPr>
              <w:pStyle w:val="Compact"/>
            </w:pPr>
            <w:r>
              <w:t xml:space="preserve">0.042</w:t>
            </w:r>
          </w:p>
        </w:tc>
      </w:tr>
      <w:tr>
        <w:tc>
          <w:tcPr/>
          <w:p>
            <w:pPr>
              <w:pStyle w:val="Compact"/>
            </w:pPr>
            <w:r>
              <w:t xml:space="preserve">9</w:t>
            </w:r>
          </w:p>
        </w:tc>
        <w:tc>
          <w:tcPr/>
          <w:p>
            <w:pPr>
              <w:pStyle w:val="Compact"/>
            </w:pPr>
            <w:r>
              <w:t xml:space="preserve">Tyrving best at baseline</w:t>
            </w:r>
          </w:p>
        </w:tc>
        <w:tc>
          <w:tcPr/>
          <w:p>
            <w:pPr>
              <w:pStyle w:val="Compact"/>
            </w:pPr>
            <w:r>
              <w:t xml:space="preserve">0.040</w:t>
            </w:r>
          </w:p>
        </w:tc>
      </w:tr>
      <w:tr>
        <w:tc>
          <w:tcPr/>
          <w:p>
            <w:pPr>
              <w:pStyle w:val="Compact"/>
            </w:pPr>
            <w:r>
              <w:t xml:space="preserve">10</w:t>
            </w:r>
          </w:p>
        </w:tc>
        <w:tc>
          <w:tcPr/>
          <w:p>
            <w:pPr>
              <w:pStyle w:val="Compact"/>
            </w:pPr>
            <w:r>
              <w:t xml:space="preserve">HHI early</w:t>
            </w:r>
          </w:p>
        </w:tc>
        <w:tc>
          <w:tcPr/>
          <w:p>
            <w:pPr>
              <w:pStyle w:val="Compact"/>
            </w:pPr>
            <w:r>
              <w:t xml:space="preserve">0.040</w:t>
            </w:r>
          </w:p>
        </w:tc>
      </w:tr>
      <w:tr>
        <w:tc>
          <w:tcPr/>
          <w:p>
            <w:pPr>
              <w:pStyle w:val="Compact"/>
            </w:pPr>
            <w:r>
              <w:t xml:space="preserve">11</w:t>
            </w:r>
          </w:p>
        </w:tc>
        <w:tc>
          <w:tcPr/>
          <w:p>
            <w:pPr>
              <w:pStyle w:val="Compact"/>
            </w:pPr>
            <w:r>
              <w:t xml:space="preserve">Volume pre-milestone (ages 13–14)</w:t>
            </w:r>
          </w:p>
        </w:tc>
        <w:tc>
          <w:tcPr/>
          <w:p>
            <w:pPr>
              <w:pStyle w:val="Compact"/>
            </w:pPr>
            <w:r>
              <w:t xml:space="preserve">0.039</w:t>
            </w:r>
          </w:p>
        </w:tc>
      </w:tr>
      <w:tr>
        <w:tc>
          <w:tcPr/>
          <w:p>
            <w:pPr>
              <w:pStyle w:val="Compact"/>
            </w:pPr>
            <w:r>
              <w:t xml:space="preserve">12</w:t>
            </w:r>
          </w:p>
        </w:tc>
        <w:tc>
          <w:tcPr/>
          <w:p>
            <w:pPr>
              <w:pStyle w:val="Compact"/>
            </w:pPr>
            <w:r>
              <w:t xml:space="preserve">Year-round participation sum (ages 13–16)</w:t>
            </w:r>
          </w:p>
        </w:tc>
        <w:tc>
          <w:tcPr/>
          <w:p>
            <w:pPr>
              <w:pStyle w:val="Compact"/>
            </w:pPr>
            <w:r>
              <w:t xml:space="preserve">0.039</w:t>
            </w:r>
          </w:p>
        </w:tc>
      </w:tr>
      <w:tr>
        <w:tc>
          <w:tcPr/>
          <w:p>
            <w:pPr>
              <w:pStyle w:val="Compact"/>
            </w:pPr>
            <w:r>
              <w:t xml:space="preserve">13</w:t>
            </w:r>
          </w:p>
        </w:tc>
        <w:tc>
          <w:tcPr/>
          <w:p>
            <w:pPr>
              <w:pStyle w:val="Compact"/>
            </w:pPr>
            <w:r>
              <w:t xml:space="preserve">Volume at age 14</w:t>
            </w:r>
          </w:p>
        </w:tc>
        <w:tc>
          <w:tcPr/>
          <w:p>
            <w:pPr>
              <w:pStyle w:val="Compact"/>
            </w:pPr>
            <w:r>
              <w:t xml:space="preserve">0.036</w:t>
            </w:r>
          </w:p>
        </w:tc>
      </w:tr>
      <w:tr>
        <w:tc>
          <w:tcPr/>
          <w:p>
            <w:pPr>
              <w:pStyle w:val="Compact"/>
            </w:pPr>
            <w:r>
              <w:t xml:space="preserve">14</w:t>
            </w:r>
          </w:p>
        </w:tc>
        <w:tc>
          <w:tcPr/>
          <w:p>
            <w:pPr>
              <w:pStyle w:val="Compact"/>
            </w:pPr>
            <w:r>
              <w:t xml:space="preserve">Number of championship types</w:t>
            </w:r>
          </w:p>
        </w:tc>
        <w:tc>
          <w:tcPr/>
          <w:p>
            <w:pPr>
              <w:pStyle w:val="Compact"/>
            </w:pPr>
            <w:r>
              <w:t xml:space="preserve">0.031</w:t>
            </w:r>
          </w:p>
        </w:tc>
      </w:tr>
      <w:tr>
        <w:tc>
          <w:tcPr/>
          <w:p>
            <w:pPr>
              <w:pStyle w:val="Compact"/>
            </w:pPr>
            <w:r>
              <w:t xml:space="preserve">15</w:t>
            </w:r>
          </w:p>
        </w:tc>
        <w:tc>
          <w:tcPr/>
          <w:p>
            <w:pPr>
              <w:pStyle w:val="Compact"/>
            </w:pPr>
            <w:r>
              <w:t xml:space="preserve">HHI at age 15</w:t>
            </w:r>
          </w:p>
        </w:tc>
        <w:tc>
          <w:tcPr/>
          <w:p>
            <w:pPr>
              <w:pStyle w:val="Compact"/>
            </w:pPr>
            <w:r>
              <w:t xml:space="preserve">0.030</w:t>
            </w:r>
          </w:p>
        </w:tc>
      </w:tr>
    </w:tbl>
    <w:p>
      <w:pPr>
        <w:pStyle w:val="BodyText"/>
      </w:pPr>
      <w:r>
        <w:rPr>
          <w:i/>
          <w:iCs/>
        </w:rPr>
        <w:t xml:space="preserve">Note.</w:t>
      </w:r>
      <w:r>
        <w:t xml:space="preserve"> </w:t>
      </w:r>
      <w:r>
        <w:t xml:space="preserve">Importances sum to 1.0 across all 22 features. Volume-based features dominate the top six positions.</w:t>
      </w:r>
    </w:p>
    <w:p>
      <w:r>
        <w:pict>
          <v:rect style="width:0;height:1.5pt" o:hralign="center" o:hrstd="t" o:hr="t"/>
        </w:pict>
      </w:r>
    </w:p>
    <w:bookmarkStart w:id="48" w:name="X585468e5085cedb5c477f60833a2e7d96093e7e"/>
    <w:p>
      <w:pPr>
        <w:pStyle w:val="Heading3"/>
      </w:pPr>
      <w:r>
        <w:t xml:space="preserve">3.6 How much of retention can pre-baseline information classify?</w:t>
      </w:r>
    </w:p>
    <w:p>
      <w:pPr>
        <w:pStyle w:val="FirstParagraph"/>
      </w:pPr>
      <w:r>
        <w:t xml:space="preserve">Table 5 contrasts cross-validated AUCs for nested predictor subsets. A purely performance-based classifier (sex + Tyrving best) achieves AUC = 0.59 in 5-fold logistic regression. Adding specialization (HHI + number of event categories) raises AUC modestly to 0.60. A pure volume-based classifier using only competitions counted at ages 13–16 achieves AUC = 0.82, a 23-point gain. Combining volume with specialization adds nothing further (AUC = 0.82), and including the full 22-feature set produces an AUC near that of volume alone (logistic AUC = 0.81; random forest AUC = 0.82). In short, behavioral indicators available by approximately age 16 classify eventual senior retention nearly as well as a maximally informative model.</w:t>
      </w:r>
    </w:p>
    <w:bookmarkEnd w:id="48"/>
    <w:bookmarkEnd w:id="49"/>
    <w:bookmarkStart w:id="51" w:name="X35104862b3eb9af860ae8c086ddf0d06f951a25"/>
    <w:p>
      <w:pPr>
        <w:pStyle w:val="Heading2"/>
      </w:pPr>
      <w:r>
        <w:t xml:space="preserve">Table 5. Cross-validated AUC for nested predictor subsets predicting senior retention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Predictor set</w:t>
            </w:r>
          </w:p>
        </w:tc>
        <w:tc>
          <w:tcPr/>
          <w:p>
            <w:pPr>
              <w:pStyle w:val="Compact"/>
            </w:pPr>
            <w:r>
              <w:t xml:space="preserve">n features</w:t>
            </w:r>
          </w:p>
        </w:tc>
        <w:tc>
          <w:tcPr/>
          <w:p>
            <w:pPr>
              <w:pStyle w:val="Compact"/>
            </w:pPr>
            <w:r>
              <w:t xml:space="preserve">n</w:t>
            </w:r>
          </w:p>
        </w:tc>
        <w:tc>
          <w:tcPr/>
          <w:p>
            <w:pPr>
              <w:pStyle w:val="Compact"/>
            </w:pPr>
            <w:r>
              <w:t xml:space="preserve">AUC (logistic)</w:t>
            </w:r>
          </w:p>
        </w:tc>
        <w:tc>
          <w:tcPr/>
          <w:p>
            <w:pPr>
              <w:pStyle w:val="Compact"/>
            </w:pPr>
            <w:r>
              <w:t xml:space="preserve">AUC (random forest)</w:t>
            </w:r>
          </w:p>
        </w:tc>
      </w:tr>
      <w:tr>
        <w:tc>
          <w:tcPr/>
          <w:p>
            <w:pPr>
              <w:pStyle w:val="Compact"/>
            </w:pPr>
            <w:r>
              <w:t xml:space="preserve">Baseline only (sex + Tyrving best)</w:t>
            </w:r>
          </w:p>
        </w:tc>
        <w:tc>
          <w:tcPr/>
          <w:p>
            <w:pPr>
              <w:pStyle w:val="Compact"/>
            </w:pPr>
            <w:r>
              <w:t xml:space="preserve">2</w:t>
            </w:r>
          </w:p>
        </w:tc>
        <w:tc>
          <w:tcPr/>
          <w:p>
            <w:pPr>
              <w:pStyle w:val="Compact"/>
            </w:pPr>
            <w:r>
              <w:t xml:space="preserve">1,217</w:t>
            </w:r>
          </w:p>
        </w:tc>
        <w:tc>
          <w:tcPr/>
          <w:p>
            <w:pPr>
              <w:pStyle w:val="Compact"/>
            </w:pPr>
            <w:r>
              <w:t xml:space="preserve">0.59 (±0.04)</w:t>
            </w:r>
          </w:p>
        </w:tc>
        <w:tc>
          <w:tcPr/>
          <w:p>
            <w:pPr>
              <w:pStyle w:val="Compact"/>
            </w:pPr>
            <w:r>
              <w:t xml:space="preserve">0.58 (±0.02)</w:t>
            </w:r>
          </w:p>
        </w:tc>
      </w:tr>
      <w:tr>
        <w:tc>
          <w:tcPr/>
          <w:p>
            <w:pPr>
              <w:pStyle w:val="Compact"/>
            </w:pPr>
            <w:r>
              <w:t xml:space="preserve">Specialization only (sex + HHI + n categories)</w:t>
            </w:r>
          </w:p>
        </w:tc>
        <w:tc>
          <w:tcPr/>
          <w:p>
            <w:pPr>
              <w:pStyle w:val="Compact"/>
            </w:pPr>
            <w:r>
              <w:t xml:space="preserve">3</w:t>
            </w:r>
          </w:p>
        </w:tc>
        <w:tc>
          <w:tcPr/>
          <w:p>
            <w:pPr>
              <w:pStyle w:val="Compact"/>
            </w:pPr>
            <w:r>
              <w:t xml:space="preserve">1,217</w:t>
            </w:r>
          </w:p>
        </w:tc>
        <w:tc>
          <w:tcPr/>
          <w:p>
            <w:pPr>
              <w:pStyle w:val="Compact"/>
            </w:pPr>
            <w:r>
              <w:t xml:space="preserve">0.60 (±0.06)</w:t>
            </w:r>
          </w:p>
        </w:tc>
        <w:tc>
          <w:tcPr/>
          <w:p>
            <w:pPr>
              <w:pStyle w:val="Compact"/>
            </w:pPr>
            <w:r>
              <w:t xml:space="preserve">0.57 (±0.05)</w:t>
            </w:r>
          </w:p>
        </w:tc>
      </w:tr>
      <w:tr>
        <w:tc>
          <w:tcPr/>
          <w:p>
            <w:pPr>
              <w:pStyle w:val="Compact"/>
            </w:pPr>
            <w:r>
              <w:t xml:space="preserve">Volume only (sex + meets ages 13–16)</w:t>
            </w:r>
          </w:p>
        </w:tc>
        <w:tc>
          <w:tcPr/>
          <w:p>
            <w:pPr>
              <w:pStyle w:val="Compact"/>
            </w:pPr>
            <w:r>
              <w:t xml:space="preserve">5</w:t>
            </w:r>
          </w:p>
        </w:tc>
        <w:tc>
          <w:tcPr/>
          <w:p>
            <w:pPr>
              <w:pStyle w:val="Compact"/>
            </w:pPr>
            <w:r>
              <w:t xml:space="preserve">1,217</w:t>
            </w:r>
          </w:p>
        </w:tc>
        <w:tc>
          <w:tcPr/>
          <w:p>
            <w:pPr>
              <w:pStyle w:val="Compact"/>
            </w:pPr>
            <w:r>
              <w:rPr>
                <w:b/>
                <w:bCs/>
              </w:rPr>
              <w:t xml:space="preserve">0.82</w:t>
            </w:r>
            <w:r>
              <w:t xml:space="preserve"> </w:t>
            </w:r>
            <w:r>
              <w:t xml:space="preserve">(±0.03)</w:t>
            </w:r>
          </w:p>
        </w:tc>
        <w:tc>
          <w:tcPr/>
          <w:p>
            <w:pPr>
              <w:pStyle w:val="Compact"/>
            </w:pPr>
            <w:r>
              <w:t xml:space="preserve">0.80 (±0.03)</w:t>
            </w:r>
          </w:p>
        </w:tc>
      </w:tr>
      <w:tr>
        <w:tc>
          <w:tcPr/>
          <w:p>
            <w:pPr>
              <w:pStyle w:val="Compact"/>
            </w:pPr>
            <w:r>
              <w:t xml:space="preserve">Volume + specialization (pre-baseline behavioral)</w:t>
            </w:r>
          </w:p>
        </w:tc>
        <w:tc>
          <w:tcPr/>
          <w:p>
            <w:pPr>
              <w:pStyle w:val="Compact"/>
            </w:pPr>
            <w:r>
              <w:t xml:space="preserve">8</w:t>
            </w:r>
          </w:p>
        </w:tc>
        <w:tc>
          <w:tcPr/>
          <w:p>
            <w:pPr>
              <w:pStyle w:val="Compact"/>
            </w:pPr>
            <w:r>
              <w:t xml:space="preserve">1,217</w:t>
            </w:r>
          </w:p>
        </w:tc>
        <w:tc>
          <w:tcPr/>
          <w:p>
            <w:pPr>
              <w:pStyle w:val="Compact"/>
            </w:pPr>
            <w:r>
              <w:t xml:space="preserve">0.82 (±0.03)</w:t>
            </w:r>
          </w:p>
        </w:tc>
        <w:tc>
          <w:tcPr/>
          <w:p>
            <w:pPr>
              <w:pStyle w:val="Compact"/>
            </w:pPr>
            <w:r>
              <w:t xml:space="preserve">0.80 (±0.03)</w:t>
            </w:r>
          </w:p>
        </w:tc>
      </w:tr>
      <w:tr>
        <w:tc>
          <w:tcPr/>
          <w:p>
            <w:pPr>
              <w:pStyle w:val="Compact"/>
            </w:pPr>
            <w:r>
              <w:t xml:space="preserve">Full model (all 22 predictors)</w:t>
            </w:r>
          </w:p>
        </w:tc>
        <w:tc>
          <w:tcPr/>
          <w:p>
            <w:pPr>
              <w:pStyle w:val="Compact"/>
            </w:pPr>
            <w:r>
              <w:t xml:space="preserve">22</w:t>
            </w:r>
          </w:p>
        </w:tc>
        <w:tc>
          <w:tcPr/>
          <w:p>
            <w:pPr>
              <w:pStyle w:val="Compact"/>
            </w:pPr>
            <w:r>
              <w:t xml:space="preserve">1,217</w:t>
            </w:r>
          </w:p>
        </w:tc>
        <w:tc>
          <w:tcPr/>
          <w:p>
            <w:pPr>
              <w:pStyle w:val="Compact"/>
            </w:pPr>
            <w:r>
              <w:t xml:space="preserve">0.81 (±0.03)</w:t>
            </w:r>
          </w:p>
        </w:tc>
        <w:tc>
          <w:tcPr/>
          <w:p>
            <w:pPr>
              <w:pStyle w:val="Compact"/>
            </w:pPr>
            <w:r>
              <w:t xml:space="preserve">0.82 (±0.03)</w:t>
            </w:r>
          </w:p>
        </w:tc>
      </w:tr>
    </w:tbl>
    <w:p>
      <w:pPr>
        <w:pStyle w:val="BodyText"/>
      </w:pPr>
      <w:r>
        <w:rPr>
          <w:i/>
          <w:iCs/>
        </w:rPr>
        <w:t xml:space="preserve">Note.</w:t>
      </w:r>
      <w:r>
        <w:t xml:space="preserve"> </w:t>
      </w:r>
      <w:r>
        <w:t xml:space="preserve">AUC is mean ± SD across 5-fold stratified cross-validation. Behavioral volume indicators (Volume-only) achieve performance close to the full predictor set.</w:t>
      </w:r>
    </w:p>
    <w:p>
      <w:r>
        <w:pict>
          <v:rect style="width:0;height:1.5pt" o:hralign="center" o:hrstd="t" o:hr="t"/>
        </w:pict>
      </w:r>
    </w:p>
    <w:bookmarkStart w:id="50" w:name="cross-cohort-replication"/>
    <w:p>
      <w:pPr>
        <w:pStyle w:val="Heading3"/>
      </w:pPr>
      <w:r>
        <w:t xml:space="preserve">3.7 Cross-cohort replication</w:t>
      </w:r>
    </w:p>
    <w:p>
      <w:pPr>
        <w:pStyle w:val="FirstParagraph"/>
      </w:pPr>
      <w:r>
        <w:t xml:space="preserve">Replication across the two birth-year cohorts is presented in Table 6. The volume-at-milestone effect replicated in both cohorts at similar magnitude (Cohort A HR = 0.49 per SD, p &lt; .001; Cohort B HR = 0.36 per SD, p &lt; .001). Championship-types also replicated (Cohort A HR = 0.71, p &lt; .001; Cohort B HR = 0.77, p &lt; .001). Both cohorts produced very similar C-indices (Cohort A 0.835; Cohort B 0.852). The sex coefficient differed between cohorts: it was elevated and statistically significant in Cohort A (HR = 1.19, p = 0.006) but not in Cohort B (HR = 1.02, p = 0.83). Performance and specialization coefficients varied in sign and significance but were always small in magnitude relative to volume.</w:t>
      </w:r>
    </w:p>
    <w:bookmarkEnd w:id="50"/>
    <w:bookmarkEnd w:id="51"/>
    <w:bookmarkStart w:id="52" w:name="X3aebc5ff8155d5ab6eacc7300c12bff7cc0e059"/>
    <w:p>
      <w:pPr>
        <w:pStyle w:val="Heading2"/>
      </w:pPr>
      <w:r>
        <w:t xml:space="preserve">Table 6. Cross-cohort replication: full Cox model fit separately in each birth cohort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c>
          <w:tcPr/>
          <w:p>
            <w:pPr>
              <w:pStyle w:val="Compact"/>
            </w:pPr>
            <w:r>
              <w:t xml:space="preserve">C-index</w:t>
            </w:r>
          </w:p>
        </w:tc>
      </w:tr>
      <w:tr>
        <w:tc>
          <w:tcPr/>
          <w:p>
            <w:pPr>
              <w:pStyle w:val="Compact"/>
            </w:pPr>
            <w:r>
              <w:t xml:space="preserve">1998–2000</w:t>
            </w:r>
          </w:p>
        </w:tc>
        <w:tc>
          <w:tcPr/>
          <w:p>
            <w:pPr>
              <w:pStyle w:val="Compact"/>
            </w:pPr>
            <w:r>
              <w:t xml:space="preserve">1,065</w:t>
            </w:r>
          </w:p>
        </w:tc>
        <w:tc>
          <w:tcPr/>
          <w:p>
            <w:pPr>
              <w:pStyle w:val="Compact"/>
            </w:pPr>
            <w:r>
              <w:t xml:space="preserve">Female</w:t>
            </w:r>
          </w:p>
        </w:tc>
        <w:tc>
          <w:tcPr/>
          <w:p>
            <w:pPr>
              <w:pStyle w:val="Compact"/>
            </w:pPr>
            <w:r>
              <w:t xml:space="preserve">1.19</w:t>
            </w:r>
          </w:p>
        </w:tc>
        <w:tc>
          <w:tcPr/>
          <w:p>
            <w:pPr>
              <w:pStyle w:val="Compact"/>
            </w:pPr>
            <w:r>
              <w:t xml:space="preserve">[1.05, 1.35]</w:t>
            </w:r>
          </w:p>
        </w:tc>
        <w:tc>
          <w:tcPr/>
          <w:p>
            <w:pPr>
              <w:pStyle w:val="Compact"/>
            </w:pPr>
            <w:r>
              <w:t xml:space="preserve">.006</w:t>
            </w:r>
          </w:p>
        </w:tc>
        <w:tc>
          <w:tcPr/>
          <w:p>
            <w:pPr>
              <w:pStyle w:val="Compact"/>
            </w:pPr>
            <w:r>
              <w:t xml:space="preserve">0.835</w:t>
            </w:r>
          </w:p>
        </w:tc>
      </w:tr>
      <w:tr>
        <w:tc>
          <w:tcPr/>
          <w:p>
            <w:pPr>
              <w:pStyle w:val="Compact"/>
            </w:pPr>
          </w:p>
        </w:tc>
        <w:tc>
          <w:tcPr/>
          <w:p>
            <w:pPr>
              <w:pStyle w:val="Compact"/>
            </w:pPr>
          </w:p>
        </w:tc>
        <w:tc>
          <w:tcPr/>
          <w:p>
            <w:pPr>
              <w:pStyle w:val="Compact"/>
            </w:pPr>
            <w:r>
              <w:t xml:space="preserve">Tyrving (z)</w:t>
            </w:r>
          </w:p>
        </w:tc>
        <w:tc>
          <w:tcPr/>
          <w:p>
            <w:pPr>
              <w:pStyle w:val="Compact"/>
            </w:pPr>
            <w:r>
              <w:t xml:space="preserve">1.04</w:t>
            </w:r>
          </w:p>
        </w:tc>
        <w:tc>
          <w:tcPr/>
          <w:p>
            <w:pPr>
              <w:pStyle w:val="Compact"/>
            </w:pPr>
            <w:r>
              <w:t xml:space="preserve">[0.97, 1.10]</w:t>
            </w:r>
          </w:p>
        </w:tc>
        <w:tc>
          <w:tcPr/>
          <w:p>
            <w:pPr>
              <w:pStyle w:val="Compact"/>
            </w:pPr>
            <w:r>
              <w:t xml:space="preserve">.275</w:t>
            </w:r>
          </w:p>
        </w:tc>
        <w:tc>
          <w:tcPr/>
          <w:p>
            <w:pPr>
              <w:pStyle w:val="Compact"/>
            </w:pPr>
          </w:p>
        </w:tc>
      </w:tr>
      <w:tr>
        <w:tc>
          <w:tcPr/>
          <w:p>
            <w:pPr>
              <w:pStyle w:val="Compact"/>
            </w:pPr>
          </w:p>
        </w:tc>
        <w:tc>
          <w:tcPr/>
          <w:p>
            <w:pPr>
              <w:pStyle w:val="Compact"/>
            </w:pPr>
          </w:p>
        </w:tc>
        <w:tc>
          <w:tcPr/>
          <w:p>
            <w:pPr>
              <w:pStyle w:val="Compact"/>
            </w:pPr>
            <w:r>
              <w:t xml:space="preserve">HHI early (z)</w:t>
            </w:r>
          </w:p>
        </w:tc>
        <w:tc>
          <w:tcPr/>
          <w:p>
            <w:pPr>
              <w:pStyle w:val="Compact"/>
            </w:pPr>
            <w:r>
              <w:t xml:space="preserve">1.00</w:t>
            </w:r>
          </w:p>
        </w:tc>
        <w:tc>
          <w:tcPr/>
          <w:p>
            <w:pPr>
              <w:pStyle w:val="Compact"/>
            </w:pPr>
            <w:r>
              <w:t xml:space="preserve">[0.94, 1.07]</w:t>
            </w:r>
          </w:p>
        </w:tc>
        <w:tc>
          <w:tcPr/>
          <w:p>
            <w:pPr>
              <w:pStyle w:val="Compact"/>
            </w:pPr>
            <w:r>
              <w:t xml:space="preserve">.966</w:t>
            </w:r>
          </w:p>
        </w:tc>
        <w:tc>
          <w:tcPr/>
          <w:p>
            <w:pPr>
              <w:pStyle w:val="Compact"/>
            </w:pPr>
          </w:p>
        </w:tc>
      </w:tr>
      <w:tr>
        <w:tc>
          <w:tcPr/>
          <w:p>
            <w:pPr>
              <w:pStyle w:val="Compact"/>
            </w:pPr>
          </w:p>
        </w:tc>
        <w:tc>
          <w:tcPr/>
          <w:p>
            <w:pPr>
              <w:pStyle w:val="Compact"/>
            </w:pPr>
          </w:p>
        </w:tc>
        <w:tc>
          <w:tcPr/>
          <w:p>
            <w:pPr>
              <w:pStyle w:val="Compact"/>
            </w:pPr>
            <w:r>
              <w:rPr>
                <w:b/>
                <w:bCs/>
              </w:rPr>
              <w:t xml:space="preserve">Volume at age 15–16 (z)</w:t>
            </w:r>
          </w:p>
        </w:tc>
        <w:tc>
          <w:tcPr/>
          <w:p>
            <w:pPr>
              <w:pStyle w:val="Compact"/>
            </w:pPr>
            <w:r>
              <w:rPr>
                <w:b/>
                <w:bCs/>
              </w:rPr>
              <w:t xml:space="preserve">0.49</w:t>
            </w:r>
          </w:p>
        </w:tc>
        <w:tc>
          <w:tcPr/>
          <w:p>
            <w:pPr>
              <w:pStyle w:val="Compact"/>
            </w:pPr>
            <w:r>
              <w:rPr>
                <w:b/>
                <w:bCs/>
              </w:rPr>
              <w:t xml:space="preserve">[0.44, 0.55]</w:t>
            </w:r>
          </w:p>
        </w:tc>
        <w:tc>
          <w:tcPr/>
          <w:p>
            <w:pPr>
              <w:pStyle w:val="Compact"/>
            </w:pPr>
            <w:r>
              <w:rPr>
                <w:b/>
                <w:bCs/>
              </w:rPr>
              <w:t xml:space="preserve">&lt; .001</w:t>
            </w:r>
          </w:p>
        </w:tc>
        <w:tc>
          <w:tcPr/>
          <w:p>
            <w:pPr>
              <w:pStyle w:val="Compact"/>
            </w:pP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0.71</w:t>
            </w:r>
          </w:p>
        </w:tc>
        <w:tc>
          <w:tcPr/>
          <w:p>
            <w:pPr>
              <w:pStyle w:val="Compact"/>
            </w:pPr>
            <w:r>
              <w:t xml:space="preserve">[0.65, 0.78]</w:t>
            </w:r>
          </w:p>
        </w:tc>
        <w:tc>
          <w:tcPr/>
          <w:p>
            <w:pPr>
              <w:pStyle w:val="Compact"/>
            </w:pPr>
            <w:r>
              <w:t xml:space="preserve">&lt; .001</w:t>
            </w:r>
          </w:p>
        </w:tc>
        <w:tc>
          <w:tcPr/>
          <w:p>
            <w:pPr>
              <w:pStyle w:val="Compact"/>
            </w:pPr>
          </w:p>
        </w:tc>
      </w:tr>
      <w:tr>
        <w:tc>
          <w:tcPr/>
          <w:p>
            <w:pPr>
              <w:pStyle w:val="Compact"/>
            </w:pPr>
            <w:r>
              <w:t xml:space="preserve">2001–2002</w:t>
            </w:r>
          </w:p>
        </w:tc>
        <w:tc>
          <w:tcPr/>
          <w:p>
            <w:pPr>
              <w:pStyle w:val="Compact"/>
            </w:pPr>
            <w:r>
              <w:t xml:space="preserve">639</w:t>
            </w:r>
          </w:p>
        </w:tc>
        <w:tc>
          <w:tcPr/>
          <w:p>
            <w:pPr>
              <w:pStyle w:val="Compact"/>
            </w:pPr>
            <w:r>
              <w:t xml:space="preserve">Female</w:t>
            </w:r>
          </w:p>
        </w:tc>
        <w:tc>
          <w:tcPr/>
          <w:p>
            <w:pPr>
              <w:pStyle w:val="Compact"/>
            </w:pPr>
            <w:r>
              <w:t xml:space="preserve">1.02</w:t>
            </w:r>
          </w:p>
        </w:tc>
        <w:tc>
          <w:tcPr/>
          <w:p>
            <w:pPr>
              <w:pStyle w:val="Compact"/>
            </w:pPr>
            <w:r>
              <w:t xml:space="preserve">[0.86, 1.21]</w:t>
            </w:r>
          </w:p>
        </w:tc>
        <w:tc>
          <w:tcPr/>
          <w:p>
            <w:pPr>
              <w:pStyle w:val="Compact"/>
            </w:pPr>
            <w:r>
              <w:t xml:space="preserve">.833</w:t>
            </w:r>
          </w:p>
        </w:tc>
        <w:tc>
          <w:tcPr/>
          <w:p>
            <w:pPr>
              <w:pStyle w:val="Compact"/>
            </w:pPr>
            <w:r>
              <w:t xml:space="preserve">0.852</w:t>
            </w:r>
          </w:p>
        </w:tc>
      </w:tr>
      <w:tr>
        <w:tc>
          <w:tcPr/>
          <w:p>
            <w:pPr>
              <w:pStyle w:val="Compact"/>
            </w:pPr>
          </w:p>
        </w:tc>
        <w:tc>
          <w:tcPr/>
          <w:p>
            <w:pPr>
              <w:pStyle w:val="Compact"/>
            </w:pPr>
          </w:p>
        </w:tc>
        <w:tc>
          <w:tcPr/>
          <w:p>
            <w:pPr>
              <w:pStyle w:val="Compact"/>
            </w:pPr>
            <w:r>
              <w:t xml:space="preserve">Tyrving (z)</w:t>
            </w:r>
          </w:p>
        </w:tc>
        <w:tc>
          <w:tcPr/>
          <w:p>
            <w:pPr>
              <w:pStyle w:val="Compact"/>
            </w:pPr>
            <w:r>
              <w:t xml:space="preserve">1.09</w:t>
            </w:r>
          </w:p>
        </w:tc>
        <w:tc>
          <w:tcPr/>
          <w:p>
            <w:pPr>
              <w:pStyle w:val="Compact"/>
            </w:pPr>
            <w:r>
              <w:t xml:space="preserve">[1.00, 1.19]</w:t>
            </w:r>
          </w:p>
        </w:tc>
        <w:tc>
          <w:tcPr/>
          <w:p>
            <w:pPr>
              <w:pStyle w:val="Compact"/>
            </w:pPr>
            <w:r>
              <w:t xml:space="preserve">.047</w:t>
            </w:r>
          </w:p>
        </w:tc>
        <w:tc>
          <w:tcPr/>
          <w:p>
            <w:pPr>
              <w:pStyle w:val="Compact"/>
            </w:pPr>
          </w:p>
        </w:tc>
      </w:tr>
      <w:tr>
        <w:tc>
          <w:tcPr/>
          <w:p>
            <w:pPr>
              <w:pStyle w:val="Compact"/>
            </w:pPr>
          </w:p>
        </w:tc>
        <w:tc>
          <w:tcPr/>
          <w:p>
            <w:pPr>
              <w:pStyle w:val="Compact"/>
            </w:pPr>
          </w:p>
        </w:tc>
        <w:tc>
          <w:tcPr/>
          <w:p>
            <w:pPr>
              <w:pStyle w:val="Compact"/>
            </w:pPr>
            <w:r>
              <w:t xml:space="preserve">HHI early (z)</w:t>
            </w:r>
          </w:p>
        </w:tc>
        <w:tc>
          <w:tcPr/>
          <w:p>
            <w:pPr>
              <w:pStyle w:val="Compact"/>
            </w:pPr>
            <w:r>
              <w:t xml:space="preserve">0.88</w:t>
            </w:r>
          </w:p>
        </w:tc>
        <w:tc>
          <w:tcPr/>
          <w:p>
            <w:pPr>
              <w:pStyle w:val="Compact"/>
            </w:pPr>
            <w:r>
              <w:t xml:space="preserve">[0.80, 0.96]</w:t>
            </w:r>
          </w:p>
        </w:tc>
        <w:tc>
          <w:tcPr/>
          <w:p>
            <w:pPr>
              <w:pStyle w:val="Compact"/>
            </w:pPr>
            <w:r>
              <w:t xml:space="preserve">.004</w:t>
            </w:r>
          </w:p>
        </w:tc>
        <w:tc>
          <w:tcPr/>
          <w:p>
            <w:pPr>
              <w:pStyle w:val="Compact"/>
            </w:pPr>
          </w:p>
        </w:tc>
      </w:tr>
      <w:tr>
        <w:tc>
          <w:tcPr/>
          <w:p>
            <w:pPr>
              <w:pStyle w:val="Compact"/>
            </w:pPr>
          </w:p>
        </w:tc>
        <w:tc>
          <w:tcPr/>
          <w:p>
            <w:pPr>
              <w:pStyle w:val="Compact"/>
            </w:pPr>
          </w:p>
        </w:tc>
        <w:tc>
          <w:tcPr/>
          <w:p>
            <w:pPr>
              <w:pStyle w:val="Compact"/>
            </w:pPr>
            <w:r>
              <w:rPr>
                <w:b/>
                <w:bCs/>
              </w:rPr>
              <w:t xml:space="preserve">Volume at age 15–16 (z)</w:t>
            </w:r>
          </w:p>
        </w:tc>
        <w:tc>
          <w:tcPr/>
          <w:p>
            <w:pPr>
              <w:pStyle w:val="Compact"/>
            </w:pPr>
            <w:r>
              <w:rPr>
                <w:b/>
                <w:bCs/>
              </w:rPr>
              <w:t xml:space="preserve">0.36</w:t>
            </w:r>
          </w:p>
        </w:tc>
        <w:tc>
          <w:tcPr/>
          <w:p>
            <w:pPr>
              <w:pStyle w:val="Compact"/>
            </w:pPr>
            <w:r>
              <w:rPr>
                <w:b/>
                <w:bCs/>
              </w:rPr>
              <w:t xml:space="preserve">[0.31, 0.43]</w:t>
            </w:r>
          </w:p>
        </w:tc>
        <w:tc>
          <w:tcPr/>
          <w:p>
            <w:pPr>
              <w:pStyle w:val="Compact"/>
            </w:pPr>
            <w:r>
              <w:rPr>
                <w:b/>
                <w:bCs/>
              </w:rPr>
              <w:t xml:space="preserve">&lt; .001</w:t>
            </w:r>
          </w:p>
        </w:tc>
        <w:tc>
          <w:tcPr/>
          <w:p>
            <w:pPr>
              <w:pStyle w:val="Compact"/>
            </w:pP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0.77</w:t>
            </w:r>
          </w:p>
        </w:tc>
        <w:tc>
          <w:tcPr/>
          <w:p>
            <w:pPr>
              <w:pStyle w:val="Compact"/>
            </w:pPr>
            <w:r>
              <w:t xml:space="preserve">[0.68, 0.87]</w:t>
            </w:r>
          </w:p>
        </w:tc>
        <w:tc>
          <w:tcPr/>
          <w:p>
            <w:pPr>
              <w:pStyle w:val="Compact"/>
            </w:pPr>
            <w:r>
              <w:t xml:space="preserve">&lt; .001</w:t>
            </w:r>
          </w:p>
        </w:tc>
        <w:tc>
          <w:tcPr/>
          <w:p>
            <w:pPr>
              <w:pStyle w:val="Compact"/>
            </w:pPr>
          </w:p>
        </w:tc>
      </w:tr>
    </w:tbl>
    <w:p>
      <w:pPr>
        <w:pStyle w:val="BodyText"/>
      </w:pPr>
      <w:r>
        <w:rPr>
          <w:i/>
          <w:iCs/>
        </w:rPr>
        <w:t xml:space="preserve">Note.</w:t>
      </w:r>
      <w:r>
        <w:t xml:space="preserve"> </w:t>
      </w:r>
      <w:r>
        <w:t xml:space="preserve">The volume-at-milestone effect replicates in both cohorts at similar magnitude and direction; HHI early (specialization) is significant in Cohort B but not Cohort A; the sex effect is significant in Cohort A but not Cohort B.</w:t>
      </w:r>
    </w:p>
    <w:p>
      <w:pPr>
        <w:pStyle w:val="BodyText"/>
      </w:pPr>
      <w:r>
        <w:t xml:space="preserve">In summary: across two independent birth-year cohorts spanning a 5-year window, the same behavioral pattern — competition volume at the qualification-milestone year as the dominant retention predictor — appeared with concordant magnitude and direction. Performance and specialization remained weak predictors. Future-dropout trajectories were visibly distinguishable from future-retainer trajectories from age 15 onward.</w:t>
      </w:r>
    </w:p>
    <w:p>
      <w:r>
        <w:pict>
          <v:rect style="width:0;height:1.5pt" o:hralign="center" o:hrstd="t" o:hr="t"/>
        </w:pict>
      </w:r>
    </w:p>
    <w:bookmarkEnd w:id="52"/>
    <w:bookmarkStart w:id="58" w:name="discussion"/>
    <w:p>
      <w:pPr>
        <w:pStyle w:val="Heading2"/>
      </w:pPr>
      <w:r>
        <w:t xml:space="preserve">4. Discussion</w:t>
      </w:r>
    </w:p>
    <w:p>
      <w:pPr>
        <w:pStyle w:val="FirstParagraph"/>
      </w:pPr>
      <w:r>
        <w:t xml:space="preserve">In a population of 2,123 Norwegian youth track-and-field athletes followed for up to 14 years, three findings stand out. First, dropout was a</w:t>
      </w:r>
      <w:r>
        <w:t xml:space="preserve"> </w:t>
      </w:r>
      <w:r>
        <w:rPr>
          <w:i/>
          <w:iCs/>
        </w:rPr>
        <w:t xml:space="preserve">behavioral</w:t>
      </w:r>
      <w:r>
        <w:t xml:space="preserve"> </w:t>
      </w:r>
      <w:r>
        <w:t xml:space="preserve">phenomenon: competition volume at the qualification-milestone year (age 15–16) was the strongest single predictor of senior retention, more than tripling the discriminative accuracy of models built on performance and specialization (Cox C-index 0.85 vs. 0.57). Second, dropout was</w:t>
      </w:r>
      <w:r>
        <w:t xml:space="preserve"> </w:t>
      </w:r>
      <w:r>
        <w:rPr>
          <w:i/>
          <w:iCs/>
        </w:rPr>
        <w:t xml:space="preserve">gradual</w:t>
      </w:r>
      <w:r>
        <w:t xml:space="preserve">: future dropouts visibly reduced their participation 2–3 years before formal exit, with median competitions per year collapsing from 8 at age 14 to 3 at age 15 to 0 at age 16. Third, dropout was</w:t>
      </w:r>
      <w:r>
        <w:t xml:space="preserve"> </w:t>
      </w:r>
      <w:r>
        <w:rPr>
          <w:i/>
          <w:iCs/>
        </w:rPr>
        <w:t xml:space="preserve">cohort-invariant</w:t>
      </w:r>
      <w:r>
        <w:t xml:space="preserve">: the behavioral pattern replicated with concordant magnitude across two independent birth-year cohorts (1998–2000 and 2001–2002) baseline-measured three years apart and followed under different sponsor-name regimes of the same regional youth meet.</w:t>
      </w:r>
    </w:p>
    <w:p>
      <w:pPr>
        <w:pStyle w:val="BodyText"/>
      </w:pPr>
      <w:r>
        <w:t xml:space="preserve">Below we situate these findings against the qualitative literature that motivated the study, draw out their implications for retention practice, and acknowledge their limitations.</w:t>
      </w:r>
    </w:p>
    <w:bookmarkStart w:id="53" w:name="X13e06cfd09740eba2d2b2b80a6462475d5e6425"/>
    <w:p>
      <w:pPr>
        <w:pStyle w:val="Heading3"/>
      </w:pPr>
      <w:r>
        <w:t xml:space="preserve">4.1 Triangulating qualitative and quantitative accounts</w:t>
      </w:r>
    </w:p>
    <w:p>
      <w:pPr>
        <w:pStyle w:val="FirstParagraph"/>
      </w:pPr>
      <w:r>
        <w:t xml:space="preserve">Our quantitative pattern aligns remarkably closely with the qualitative dropout literature in three respects, and diverges from it in one.</w:t>
      </w:r>
    </w:p>
    <w:p>
      <w:pPr>
        <w:pStyle w:val="BodyText"/>
      </w:pPr>
      <w:r>
        <w:rPr>
          <w:b/>
          <w:bCs/>
        </w:rPr>
        <w:t xml:space="preserve">Behavioral two-groups.</w:t>
      </w:r>
      <w:r>
        <w:t xml:space="preserve"> </w:t>
      </w:r>
      <w:r>
        <w:t xml:space="preserve">Espedalen (2025) characterized organized youth sport as containing two distinct populations: a small, deeply committed minority who have integrated sport into their identities, and a larger casually-oriented majority who readily move between activities and withdraw when costs rise. In our data those groups are visibly detectable as behavioral trajectories. Future retainers and future dropouts begin at similar competition volumes (medians of 13 vs. 8 meets at age 13) but follow diverging paths through the milestone-year window. The phenomenon is not that retainers are</w:t>
      </w:r>
      <w:r>
        <w:t xml:space="preserve"> </w:t>
      </w:r>
      <w:r>
        <w:t xml:space="preserve">“more talented”</w:t>
      </w:r>
      <w:r>
        <w:t xml:space="preserve"> </w:t>
      </w:r>
      <w:r>
        <w:t xml:space="preserve">— performance was a comparatively weak predictor — but that they participate more, in more event categories, and across more types of competition. This is exactly the</w:t>
      </w:r>
      <w:r>
        <w:t xml:space="preserve"> </w:t>
      </w:r>
      <w:r>
        <w:rPr>
          <w:i/>
          <w:iCs/>
        </w:rPr>
        <w:t xml:space="preserve">committed</w:t>
      </w:r>
      <w:r>
        <w:t xml:space="preserve"> </w:t>
      </w:r>
      <w:r>
        <w:t xml:space="preserve">vs. </w:t>
      </w:r>
      <w:r>
        <w:rPr>
          <w:i/>
          <w:iCs/>
        </w:rPr>
        <w:t xml:space="preserve">casual</w:t>
      </w:r>
      <w:r>
        <w:t xml:space="preserve"> </w:t>
      </w:r>
      <w:r>
        <w:t xml:space="preserve">distinction Espedalen described, expressed in behavior rather than self-report.</w:t>
      </w:r>
    </w:p>
    <w:p>
      <w:pPr>
        <w:pStyle w:val="BodyText"/>
      </w:pPr>
      <w:r>
        <w:rPr>
          <w:b/>
          <w:bCs/>
        </w:rPr>
        <w:t xml:space="preserve">Process, not event.</w:t>
      </w:r>
      <w:r>
        <w:t xml:space="preserve"> </w:t>
      </w:r>
      <w:r>
        <w:t xml:space="preserve">Eliasson and Johansson (2021), based on semi-structured interviews with 12 girls aged 12-17 and 12 of their parents, characterized withdrawal as a process that</w:t>
      </w:r>
      <w:r>
        <w:t xml:space="preserve"> </w:t>
      </w:r>
      <w:r>
        <w:t xml:space="preserve">“may be fairly long and emotional for young athletes, and less reversible the further into the process they progress.”</w:t>
      </w:r>
      <w:r>
        <w:t xml:space="preserve"> </w:t>
      </w:r>
      <w:r>
        <w:t xml:space="preserve">In our register, that long process is visible directly: at age 15 a typical future dropout was still competing in 3 meets (median); the interquartile range stretched from 0 to 11 meets, meaning many future dropouts were still nominally active. They had not yet left, but they were leaving. This temporal pattern is hard to demonstrate by interview because by the time a researcher recruits an interviewee, the process has typically resolved one way or the other. The register’s continuous timestamping makes the process observable in real time.</w:t>
      </w:r>
    </w:p>
    <w:p>
      <w:pPr>
        <w:pStyle w:val="BodyText"/>
      </w:pPr>
      <w:r>
        <w:rPr>
          <w:b/>
          <w:bCs/>
        </w:rPr>
        <w:t xml:space="preserve">Milestone-driven withdrawal.</w:t>
      </w:r>
      <w:r>
        <w:t xml:space="preserve"> </w:t>
      </w:r>
      <w:r>
        <w:t xml:space="preserve">Both Espedalen’s account and Scanlan’s Sport Commitment Model (Scanlan et al., 1993, 2016) predict that withdrawal will be concentrated around moments when the formal demands of organized sport become explicit — qualification windows, selection events, federation championships. In Norwegian track and field, the first such milestone is the youth national championships (UM), open to athletes who have qualified by performance during their 15th and 16th year. The volume trajectory we observed bends sharply at exactly this age. The same milestone-window effect appears in the championship-type variable: athletes who entered all four levels of competitive championship before age 17 (regional, youth-national, junior-national, senior-national) retained 91% senior activity; athletes who entered none retained 5%. Championship participation is itself behavioral — a choice to enter — and so cannot be cleanly separated from the volume effect, but the gradient is striking either way.</w:t>
      </w:r>
    </w:p>
    <w:p>
      <w:pPr>
        <w:pStyle w:val="BodyText"/>
      </w:pPr>
      <w:r>
        <w:rPr>
          <w:b/>
          <w:bCs/>
        </w:rPr>
        <w:t xml:space="preserve">One point of divergence.</w:t>
      </w:r>
      <w:r>
        <w:t xml:space="preserve"> </w:t>
      </w:r>
      <w:r>
        <w:t xml:space="preserve">Bakken (2019) and other Norwegian survey-based analyses report substantial sex differences in youth-sport withdrawal: girls leave organized sport earlier and at higher rates than boys, particularly during the transition to junior age (Crane &amp; Temple, 2015 in the international literature). Our unadjusted Kaplan-Meier curves found no overall sex difference in track-and-field retention (log-rank p = 0.33). In one of our two cohorts the female coefficient was nominally elevated in the multivariable Cox model (Cohort A HR = 1.19, p = 0.006); in the other cohort it was not (Cohort B HR = 1.02, p = 0.83). One possible reading is that prior reports of sex differences are confounded with sport-specific factors. Track and field, where event diversity is large and physical demands are sex-differentiated by event rather than across the sport as a whole, may not display the sex gradient seen in team sports. A second reading is that the differential we observed in Cohort A reflects an older cohort effect that is dissipating in subsequent cohorts as girls’ participation in elite-oriented endurance and field events has grown. We cannot adjudicate between these readings here; we note simply that the dropout pattern in our population is sex-symmetric across the entire population and across the bulk of follow-up.</w:t>
      </w:r>
    </w:p>
    <w:bookmarkEnd w:id="53"/>
    <w:bookmarkStart w:id="54" w:name="what-the-registry-contributes"/>
    <w:p>
      <w:pPr>
        <w:pStyle w:val="Heading3"/>
      </w:pPr>
      <w:r>
        <w:t xml:space="preserve">4.2 What the registry contributes</w:t>
      </w:r>
    </w:p>
    <w:p>
      <w:pPr>
        <w:pStyle w:val="FirstParagraph"/>
      </w:pPr>
      <w:r>
        <w:t xml:space="preserve">Survey and interview research on youth-sport dropout suffers from two structural limitations. First, participants who have already left the sport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to the literature is therefore not a new theoretical account — the</w:t>
      </w:r>
      <w:r>
        <w:t xml:space="preserve"> </w:t>
      </w:r>
      <w:r>
        <w:rPr>
          <w:i/>
          <w:iCs/>
        </w:rPr>
        <w:t xml:space="preserve">committed-vs-casual</w:t>
      </w:r>
      <w:r>
        <w:t xml:space="preserve"> </w:t>
      </w:r>
      <w:r>
        <w:t xml:space="preserve">and</w:t>
      </w:r>
      <w:r>
        <w:t xml:space="preserve"> </w:t>
      </w:r>
      <w:r>
        <w:rPr>
          <w:i/>
          <w:iCs/>
        </w:rPr>
        <w:t xml:space="preserve">withdrawal-as-process</w:t>
      </w:r>
      <w:r>
        <w:t xml:space="preserve"> </w:t>
      </w:r>
      <w:r>
        <w:t xml:space="preserve">frameworks both pre-date this study — but a quantitative demonstration that those accounts predict an observable behavioral signal in objective register data, several years before the dropout itself. The signal is dominated by</w:t>
      </w:r>
      <w:r>
        <w:t xml:space="preserve"> </w:t>
      </w:r>
      <w:r>
        <w:rPr>
          <w:i/>
          <w:iCs/>
        </w:rPr>
        <w:t xml:space="preserve">behavior</w:t>
      </w:r>
      <w:r>
        <w:t xml:space="preserve"> </w:t>
      </w:r>
      <w:r>
        <w:t xml:space="preserve">(how much an athlete competes), not by</w:t>
      </w:r>
      <w:r>
        <w:t xml:space="preserve"> </w:t>
      </w:r>
      <w:r>
        <w:rPr>
          <w:i/>
          <w:iCs/>
        </w:rPr>
        <w:t xml:space="preserve">capability</w:t>
      </w:r>
      <w:r>
        <w:t xml:space="preserve"> </w:t>
      </w:r>
      <w:r>
        <w:t xml:space="preserve">(how well they perform). This has direct implications for retention practice.</w:t>
      </w:r>
    </w:p>
    <w:bookmarkEnd w:id="54"/>
    <w:bookmarkStart w:id="55" w:name="practical-implications"/>
    <w:p>
      <w:pPr>
        <w:pStyle w:val="Heading3"/>
      </w:pPr>
      <w:r>
        <w:t xml:space="preserve">4.3 Practical implications</w:t>
      </w:r>
    </w:p>
    <w:p>
      <w:pPr>
        <w:pStyle w:val="FirstParagraph"/>
      </w:pPr>
      <w:r>
        <w:t xml:space="preserve">The findings suggest a tractable early-warning approach for retention-focused interventions. Most coaches and federations track performance closely — improvement, personal bests, rankings — because performance is what selection ultimately depends on. Few systematically track competition volume in the way our analysis does. Our data suggest that a coach who sees an athlete’s annual meet count drop from ~10 in their 14-year-old season to ~3 in their 15-year-old season has a</w:t>
      </w:r>
      <w:r>
        <w:t xml:space="preserve"> </w:t>
      </w:r>
      <w:r>
        <w:rPr>
          <w:i/>
          <w:iCs/>
        </w:rPr>
        <w:t xml:space="preserve">behavioral</w:t>
      </w:r>
      <w:r>
        <w:t xml:space="preserve"> </w:t>
      </w:r>
      <w:r>
        <w:t xml:space="preserve">warning at least as predictive of imminent dropout as any plausible performance signal. The lead time — 2 to 3 years between the behavioral decline and the formal exit — is long enough for federation-level outreach, coach check-ins, or program redesign to plausibly affect the trajectory.</w:t>
      </w:r>
    </w:p>
    <w:p>
      <w:pPr>
        <w:pStyle w:val="BodyText"/>
      </w:pPr>
      <w:r>
        <w:t xml:space="preserve">A complementary implication concerns</w:t>
      </w:r>
      <w:r>
        <w:t xml:space="preserve"> </w:t>
      </w:r>
      <w:r>
        <w:rPr>
          <w:i/>
          <w:iCs/>
        </w:rPr>
        <w:t xml:space="preserve">what to encourage</w:t>
      </w:r>
      <w:r>
        <w:t xml:space="preserve">. Cross-event diversification (lower HHI) was protective of senior retention in our data, and the protective effect was specifically stronger in Cohort B (HR = 0.88 per SD of HHI, p = 0.004). Federations and clubs that funnel adolescents toward early single-event specialization may inadvertently be removing one of the behavioral protective factors against dropout. The pattern is consistent with the international</w:t>
      </w:r>
      <w:r>
        <w:t xml:space="preserve"> </w:t>
      </w:r>
      <w:r>
        <w:t xml:space="preserve">“early diversification”</w:t>
      </w:r>
      <w:r>
        <w:t xml:space="preserve"> </w:t>
      </w:r>
      <w:r>
        <w:t xml:space="preserve">literature (Côté &amp; Hancock, 2016; Güllich et al., 2022) but the mechanism we observe here is one of</w:t>
      </w:r>
      <w:r>
        <w:t xml:space="preserve"> </w:t>
      </w:r>
      <w:r>
        <w:rPr>
          <w:i/>
          <w:iCs/>
        </w:rPr>
        <w:t xml:space="preserve">retention</w:t>
      </w:r>
      <w:r>
        <w:t xml:space="preserve"> </w:t>
      </w:r>
      <w:r>
        <w:t xml:space="preserve">rather than</w:t>
      </w:r>
      <w:r>
        <w:t xml:space="preserve"> </w:t>
      </w:r>
      <w:r>
        <w:rPr>
          <w:i/>
          <w:iCs/>
        </w:rPr>
        <w:t xml:space="preserve">peak performance</w:t>
      </w:r>
      <w:r>
        <w:t xml:space="preserve">: it is not that diversifiers reach higher peaks, but that they are less likely to leave.</w:t>
      </w:r>
    </w:p>
    <w:bookmarkEnd w:id="55"/>
    <w:bookmarkStart w:id="56" w:name="limitations"/>
    <w:p>
      <w:pPr>
        <w:pStyle w:val="Heading3"/>
      </w:pPr>
      <w:r>
        <w:t xml:space="preserve">4.4 Limitations</w:t>
      </w:r>
    </w:p>
    <w:p>
      <w:pPr>
        <w:pStyle w:val="FirstParagraph"/>
      </w:pPr>
      <w:r>
        <w:t xml:space="preserve">Four limitations bear directly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who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their parents had reduced support, because school demands had increased, because a coach had not selected them, or because they had become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w:t>
      </w:r>
    </w:p>
    <w:p>
      <w:pPr>
        <w:pStyle w:val="BodyText"/>
      </w:pPr>
      <w:r>
        <w:t xml:space="preserve">Third, the population is selected. Athletes who participate in a regional grassroots meet at age 13-14 are already self- and parent-selected for organized-sport orientation. Effects we observed within this population may differ in shape or strength among the broader population of adolescents who never enter the funnel.</w:t>
      </w:r>
    </w:p>
    <w:p>
      <w:pPr>
        <w:pStyle w:val="BodyText"/>
      </w:pPr>
      <w:r>
        <w:t xml:space="preserve">Fourth, despite a 14-year maximum follow-up, our right-censoring window means the most recent (2001–2002 birth) cohort had at most 4 years of post-senior observation. The replication finding across the two cohorts is strengthened by the differing follow-up windows; nonetheless, longer follow-up would allow us to distinguish</w:t>
      </w:r>
      <w:r>
        <w:t xml:space="preserve"> </w:t>
      </w:r>
      <w:r>
        <w:rPr>
          <w:i/>
          <w:iCs/>
        </w:rPr>
        <w:t xml:space="preserve">late dropouts</w:t>
      </w:r>
      <w:r>
        <w:t xml:space="preserve"> </w:t>
      </w:r>
      <w:r>
        <w:t xml:space="preserve">(athletes who continue competing into their early twenties but disengage by age 30) from genuine career athletes.</w:t>
      </w:r>
    </w:p>
    <w:bookmarkEnd w:id="56"/>
    <w:bookmarkStart w:id="57" w:name="conclusion"/>
    <w:p>
      <w:pPr>
        <w:pStyle w:val="Heading3"/>
      </w:pPr>
      <w:r>
        <w:t xml:space="preserve">4.5 Conclusion</w:t>
      </w:r>
    </w:p>
    <w:p>
      <w:pPr>
        <w:pStyle w:val="FirstParagraph"/>
      </w:pPr>
      <w:r>
        <w:t xml:space="preserve">In a complete-population 14-year follow-up of 2,123 Norwegian youth track-and-field athletes across two independent birth-year cohorts, dropout from competitive participation was predominantly a behavioral phenomenon detectable in register data years before formal exit. The findings quantify and corroborate qualitative accounts of dropout-as-process and of two-population stratification within organized youth sport. They also support a tractable retention strategy: behavioral surveillance — tracking competition volume rather than only competition performance — can identify athletes at high risk of disengagement during the qualification-milestone window, at lead times that make federation-level response feasible.</w:t>
      </w:r>
    </w:p>
    <w:p>
      <w:r>
        <w:pict>
          <v:rect style="width:0;height:1.5pt" o:hralign="center" o:hrstd="t" o:hr="t"/>
        </w:pict>
      </w:r>
    </w:p>
    <w:bookmarkEnd w:id="57"/>
    <w:bookmarkEnd w:id="58"/>
    <w:bookmarkStart w:id="59"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59"/>
    <w:bookmarkStart w:id="60" w:name="references"/>
    <w:p>
      <w:pPr>
        <w:pStyle w:val="Heading2"/>
      </w:pPr>
      <w:r>
        <w:t xml:space="preserve">References</w:t>
      </w:r>
    </w:p>
    <w:p>
      <w:pPr>
        <w:pStyle w:val="FirstParagraph"/>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2026-05-17T20:12:00Z</dcterms:created>
  <dcterms:modified xsi:type="dcterms:W3CDTF">2026-05-17T20:12:00Z</dcterms:modified>
</cp:coreProperties>
</file>

<file path=docProps/custom.xml><?xml version="1.0" encoding="utf-8"?>
<Properties xmlns="http://schemas.openxmlformats.org/officeDocument/2006/custom-properties" xmlns:vt="http://schemas.openxmlformats.org/officeDocument/2006/docPropsVTypes"/>
</file>