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e4d26323c44b0e13220bcda9ef56874f9a7a62"/>
    <w:p>
      <w:pPr>
        <w:pStyle w:val="Heading1"/>
      </w:pPr>
      <w:r>
        <w:t xml:space="preserve">Behavioral pathways out of youth competitive sport: A 14-year longitudinal registry study of Norwegian track and field athletes</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Qualitative research has long characterized youth-sport dropout as a gradual deliberative process unfolding over one to two years, but the longitudinal behavioral signature has been hard to observe directly. We use Norway’s public competition register to quantify behavioral antecedents of senior retention in track and field.</w:t>
      </w:r>
    </w:p>
    <w:p>
      <w:pPr>
        <w:pStyle w:val="BodyText"/>
      </w:pPr>
      <w:r>
        <w:rPr>
          <w:b/>
          <w:bCs/>
        </w:rPr>
        <w:t xml:space="preserve">Method.</w:t>
      </w:r>
      <w:r>
        <w:t xml:space="preserve"> </w:t>
      </w:r>
      <w:r>
        <w:t xml:space="preserve">We followed all 2,123 athletes (ages 13–14 at baseline) participating in five consecutive editions of a regional youth meet between 2011 and 2016 (birth cohorts 1998–2002). For each athlete we recorded annual competition counts, event-category diversification, championship participation, and Tyrving age-norm performance points through 2026 — a maximum follow-up of 14 years.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also detectable using only pre-milestone (age 13–14) volume (HR = 0.50). Future dropouts exhibited declining competition counts 2–3 years before formal exit.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Competitive dropout is preceded by observable reductions in registered competition behavior during the milestone window. Registry-based behavioral surveillance can complement survey research as a marker of progressive disengagement.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of why adolescents leave organized sport is that</w:t>
      </w:r>
      <w:r>
        <w:t xml:space="preserve"> </w:t>
      </w:r>
      <w:r>
        <w:rPr>
          <w:i/>
          <w:iCs/>
        </w:rPr>
        <w:t xml:space="preserve">dropout is a process, not a moment</w:t>
      </w:r>
      <w:r>
        <w:t xml:space="preserve">. Scanlan and colleagues’ Sport Commitment Model (SCM; Scanlan et al., 1993, 2016) frames continued participation as a function of sport enjoyment, personal investments, social constraints, involvement opportunities, and attractive alternatives — a balance that erodes incrementally rather than collapsing in a single decision. Self-determination theory (SDT; Ryan &amp; Deci, 2000) and its sport applications (Vallerand, 1997, 2007; Sarrazin et al., 2002) make a parallel prediction: athletes whose participation is sustained by well-internalized motivation persist when the demands of organized sport escalate, whereas athletes whose participation is sustained by external pressure progressively withdraw.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w:t>
      </w:r>
    </w:p>
    <w:p>
      <w:pPr>
        <w:pStyle w:val="BodyText"/>
      </w:pPr>
      <w:r>
        <w:t xml:space="preserve">A complementary observation, articulated most clearly in Wall and Côté’s (2007) developmental-activity work and in Espedalen’s recent Norwegian programme (Espedalen, 2025), is that organized youth sport contains</w:t>
      </w:r>
      <w:r>
        <w:t xml:space="preserve"> </w:t>
      </w:r>
      <w:r>
        <w:rPr>
          <w:i/>
          <w:iCs/>
        </w:rPr>
        <w:t xml:space="preserve">two distinct sub-populations</w:t>
      </w:r>
      <w:r>
        <w:t xml:space="preserve">: a smaller group of</w:t>
      </w:r>
      <w:r>
        <w:t xml:space="preserve"> </w:t>
      </w:r>
      <w:r>
        <w:t xml:space="preserve">“investors”</w:t>
      </w:r>
      <w:r>
        <w:t xml:space="preserve"> </w:t>
      </w:r>
      <w:r>
        <w:t xml:space="preserve">or</w:t>
      </w:r>
      <w:r>
        <w:t xml:space="preserve"> </w:t>
      </w:r>
      <w:r>
        <w:t xml:space="preserve">“engaged enthusiasts”</w:t>
      </w:r>
      <w:r>
        <w:t xml:space="preserve"> </w:t>
      </w:r>
      <w:r>
        <w:t xml:space="preserve">whose sport identity is robustly integrated with their wider lives, and a larger group of</w:t>
      </w:r>
      <w:r>
        <w:t xml:space="preserve"> </w:t>
      </w:r>
      <w:r>
        <w:t xml:space="preserve">“samplers”</w:t>
      </w:r>
      <w:r>
        <w:t xml:space="preserve"> </w:t>
      </w:r>
      <w:r>
        <w:t xml:space="preserve">or</w:t>
      </w:r>
      <w:r>
        <w:t xml:space="preserve"> </w:t>
      </w:r>
      <w:r>
        <w:t xml:space="preserve">“constrained casuals”</w:t>
      </w:r>
      <w:r>
        <w:t xml:space="preserve"> </w:t>
      </w:r>
      <w:r>
        <w:t xml:space="preserve">oriented toward easily accessible enjoyment who readily move between activities. When the demands of organized sport escalate around the qualification-milestone years — in Norwegian track and field, the Youth National Championships at age 15–16 and the Junior National Championships at age 17–19 — the second group disengages.</w:t>
      </w:r>
    </w:p>
    <w:bookmarkEnd w:id="11"/>
    <w:bookmarkStart w:id="12" w:name="the-quantitative-gap"/>
    <w:p>
      <w:pPr>
        <w:pStyle w:val="Heading2"/>
      </w:pPr>
      <w:r>
        <w:t xml:space="preserve">1.2 The quantitative gap</w:t>
      </w:r>
    </w:p>
    <w:p>
      <w:pPr>
        <w:pStyle w:val="FirstParagraph"/>
      </w:pPr>
      <w:r>
        <w:t xml:space="preserve">What this body of literature has been unable to test, with the data designs it has employed, is the</w:t>
      </w:r>
      <w:r>
        <w:t xml:space="preserve"> </w:t>
      </w:r>
      <w:r>
        <w:rPr>
          <w:i/>
          <w:iCs/>
        </w:rPr>
        <w:t xml:space="preserve">long-run behavioral signature</w:t>
      </w:r>
      <w:r>
        <w:t xml:space="preserve"> </w:t>
      </w:r>
      <w:r>
        <w:t xml:space="preserve">of the deliberative process. Two structural constraints account for the gap. First, athletes who have already withdrawn from a sport are systematically harder to recruit into surveys (Eime et al., 2013), so the most informative cases tend to be missing. Second, the timescale on which the theoretical process is hypothesized to unfold (1–3 years) exceeds the follow-up window of most prospective designs; Sarrazin and colleagues’ (2002) 21-month study of female handballers is unusually long for the literature and still does not bridge the adolescent-to-junior transition.</w:t>
      </w:r>
    </w:p>
    <w:p>
      <w:pPr>
        <w:pStyle w:val="BodyText"/>
      </w:pPr>
      <w:r>
        <w:t xml:space="preserve">A separate quantitative tradition has focused on</w:t>
      </w:r>
      <w:r>
        <w:t xml:space="preserve"> </w:t>
      </w:r>
      <w:r>
        <w:rPr>
          <w:i/>
          <w:iCs/>
        </w:rPr>
        <w:t xml:space="preserve">cross-sectional</w:t>
      </w:r>
      <w:r>
        <w:t xml:space="preserve"> </w:t>
      </w:r>
      <w:r>
        <w:t xml:space="preserve">correlates of dropout — relative age effects (Cobley et al., 2009; Wattie et al., 2015), early specialization (DiFiori et al., 2014; Jayanthi et al., 2015; Côté &amp; Hancock, 2016; Güllich et al., 2022), and selection-window performance (Crane &amp; Temple, 2015) — but has not, to our knowledge, examined the</w:t>
      </w:r>
      <w:r>
        <w:t xml:space="preserve"> </w:t>
      </w:r>
      <w:r>
        <w:rPr>
          <w:i/>
          <w:iCs/>
        </w:rPr>
        <w:t xml:space="preserve">trajectory</w:t>
      </w:r>
      <w:r>
        <w:t xml:space="preserve"> </w:t>
      </w:r>
      <w:r>
        <w:t xml:space="preserve">of registered competition behavior across the adolescent window as an observable proxy for the engagement balance that the qualitative literature describes.</w:t>
      </w:r>
    </w:p>
    <w:bookmarkEnd w:id="12"/>
    <w:bookmarkStart w:id="13" w:name="the-present-study"/>
    <w:p>
      <w:pPr>
        <w:pStyle w:val="Heading2"/>
      </w:pPr>
      <w:r>
        <w:t xml:space="preserve">1.3 The present study</w:t>
      </w:r>
    </w:p>
    <w:p>
      <w:pPr>
        <w:pStyle w:val="FirstParagraph"/>
      </w:pPr>
      <w:r>
        <w:t xml:space="preserve">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grassroots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w:t>
      </w:r>
    </w:p>
    <w:p>
      <w:pPr>
        <w:pStyle w:val="BodyText"/>
      </w:pPr>
      <w:r>
        <w:t xml:space="preserve">We test three pre-registered-by-design hypotheses. First, behavioral trajectories of future retainers and future dropouts should</w:t>
      </w:r>
      <w:r>
        <w:t xml:space="preserve"> </w:t>
      </w:r>
      <w:r>
        <w:rPr>
          <w:i/>
          <w:iCs/>
        </w:rPr>
        <w:t xml:space="preserve">diverge</w:t>
      </w:r>
      <w:r>
        <w:t xml:space="preserve"> </w:t>
      </w:r>
      <w:r>
        <w:t xml:space="preserve">before formal exit — consistent with the dropout-as-process prediction. Second,</w:t>
      </w:r>
      <w:r>
        <w:t xml:space="preserve"> </w:t>
      </w:r>
      <w:r>
        <w:rPr>
          <w:i/>
          <w:iCs/>
        </w:rPr>
        <w:t xml:space="preserve">behavioral</w:t>
      </w:r>
      <w:r>
        <w:t xml:space="preserve"> </w:t>
      </w:r>
      <w:r>
        <w:t xml:space="preserve">engagement indicators (competition volume, breadth of championship participation) should classify eventual senior retention more strongly than baseline</w:t>
      </w:r>
      <w:r>
        <w:t xml:space="preserve"> </w:t>
      </w:r>
      <w:r>
        <w:rPr>
          <w:i/>
          <w:iCs/>
        </w:rPr>
        <w:t xml:space="preserve">performance</w:t>
      </w:r>
      <w:r>
        <w:t xml:space="preserve"> </w:t>
      </w:r>
      <w:r>
        <w:t xml:space="preserve">— consistent with the SCM prediction that the engagement balance, not absolute capability, drives continuation. Third, the predictive pattern should</w:t>
      </w:r>
      <w:r>
        <w:t xml:space="preserve"> </w:t>
      </w:r>
      <w:r>
        <w:rPr>
          <w:i/>
          <w:iCs/>
        </w:rPr>
        <w:t xml:space="preserve">replicate</w:t>
      </w:r>
      <w:r>
        <w:t xml:space="preserve"> </w:t>
      </w:r>
      <w:r>
        <w:t xml:space="preserve">across cohorts recruited under different sponsor regimes of the same meet — testing that this is a behavioral mechanism rather than a cohort-specific artefact.</w:t>
      </w:r>
    </w:p>
    <w:p>
      <w:pPr>
        <w:pStyle w:val="BodyText"/>
      </w:pPr>
      <w:r>
        <w:t xml:space="preserve">We address these questions in 2,123 Norwegian youth athletes followed for up to 14 years. The design treats register-based competition behavior not as a direct measure of subjective motivation but as an</w:t>
      </w:r>
      <w:r>
        <w:t xml:space="preserve"> </w:t>
      </w:r>
      <w:r>
        <w:rPr>
          <w:i/>
          <w:iCs/>
        </w:rPr>
        <w:t xml:space="preserve">observable behavioral marker</w:t>
      </w:r>
      <w:r>
        <w:t xml:space="preserve"> </w:t>
      </w:r>
      <w:r>
        <w:t xml:space="preserve">whose temporal structure can be compared against the predictions of accounts that have been argued primarily on cross-sectional or short-prospective evidence. Where the register patterns are consistent with the qualitative process accounts, the case for those accounts is strengthened via methodological triangulation (Heale &amp; Forbes, 2013). Where they diverge, the divergence itself is informative.</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Xdafa309572a81b5efce690b69482b39fd541783"/>
    <w:p>
      <w:pPr>
        <w:pStyle w:val="Heading3"/>
      </w:pPr>
      <w:r>
        <w:t xml:space="preserve">2.5.4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283e66ce83280030d5cf44482c44fe397a3e141"/>
    <w:p>
      <w:pPr>
        <w:pStyle w:val="Heading2"/>
      </w:pPr>
      <w:r>
        <w:t xml:space="preserve">3.2 Competition-volume trajectories diverge before formal exit</w:t>
      </w:r>
    </w:p>
    <w:p>
      <w:pPr>
        <w:pStyle w:val="FirstParagraph"/>
      </w:pPr>
      <w:r>
        <w:t xml:space="preserve">Figure 1 presents the central behavioral observation.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BodyText"/>
      </w:pPr>
      <w:r>
        <w:t xml:space="preserve">[</w:t>
      </w:r>
      <w:r>
        <w:rPr>
          <w:b/>
          <w:bCs/>
        </w:rPr>
        <w:t xml:space="preserve">Figure 1 about here</w:t>
      </w:r>
      <w:r>
        <w:t xml:space="preserve">]</w:t>
      </w:r>
    </w:p>
    <w:p>
      <w:pPr>
        <w:pStyle w:val="BodyText"/>
      </w:pPr>
      <w:r>
        <w:t xml:space="preserve">[</w:t>
      </w:r>
      <w:r>
        <w:rPr>
          <w:b/>
          <w:bCs/>
        </w:rPr>
        <w:t xml:space="preserve">Table 2 about here</w:t>
      </w:r>
      <w:r>
        <w:t xml:space="preserve">]</w:t>
      </w:r>
    </w:p>
    <w:bookmarkEnd w:id="38"/>
    <w:bookmarkStart w:id="39" w:name="survival-to-active-senior-age"/>
    <w:p>
      <w:pPr>
        <w:pStyle w:val="Heading2"/>
      </w:pPr>
      <w:r>
        <w:t xml:space="preserve">3.3 Survival to active senior age</w:t>
      </w:r>
    </w:p>
    <w:p>
      <w:pPr>
        <w:pStyle w:val="FirstParagraph"/>
      </w:pPr>
      <w:r>
        <w:t xml:space="preserve">Overall Kaplan-Meier retention is shown in Figure 2A. Half of the cohort had ceased active competition within 3 years of baseline; 75% had ceased within 5 years. The age-17 floor (corresponding to the transition from youth to junior competition) marks the steepest acceleration in dropout. The sex-stratified retention curves (Figure 2B) overlap throughout the follow-up window: a log-rank test detected no overall sex difference (χ² = 0.95, p = 0.33).</w:t>
      </w:r>
    </w:p>
    <w:p>
      <w:pPr>
        <w:pStyle w:val="BodyText"/>
      </w:pPr>
      <w:r>
        <w:t xml:space="preserve">[</w:t>
      </w:r>
      <w:r>
        <w:rPr>
          <w:b/>
          <w:bCs/>
        </w:rPr>
        <w:t xml:space="preserve">Figure 2 about here</w:t>
      </w:r>
      <w:r>
        <w:t xml:space="preserve">]</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(Figure 4) reveals the same pattern: athletes who competed in all four championship types (UM, JrNM, NM, KM) retained 91% senior activity, while athletes who entered zero championship types retained 5%.</w:t>
      </w:r>
    </w:p>
    <w:p>
      <w:pPr>
        <w:pStyle w:val="BodyText"/>
      </w:pPr>
      <w:r>
        <w:t xml:space="preserve">[</w:t>
      </w:r>
      <w:r>
        <w:rPr>
          <w:b/>
          <w:bCs/>
        </w:rPr>
        <w:t xml:space="preserve">Figures 3 and 4 about here</w:t>
      </w:r>
      <w:r>
        <w:t xml:space="preserve">]</w:t>
      </w:r>
    </w:p>
    <w:bookmarkEnd w:id="39"/>
    <w:bookmarkStart w:id="40"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had a hazard ratio of 0.352 per SD (95% CI: 0.327–0.380, p &lt; .001), corresponding to an approximately three-fold reduction in dropout hazard for a one-SD increase in milestone-window competition volume. The previously significant Tyrving coefficient became non-significant once volume was entered (HR = 1.04, p = 0.17): once an athlete’s behavioral engagement at the milestone is known, knowing their baseline performance adds little.</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p>
      <w:pPr>
        <w:pStyle w:val="BodyText"/>
      </w:pPr>
      <w:r>
        <w:t xml:space="preserve">[</w:t>
      </w:r>
      <w:r>
        <w:rPr>
          <w:b/>
          <w:bCs/>
        </w:rPr>
        <w:t xml:space="preserve">Table 3 about here</w:t>
      </w:r>
      <w:r>
        <w:t xml:space="preserve">]</w:t>
      </w:r>
    </w:p>
    <w:bookmarkEnd w:id="40"/>
    <w:bookmarkStart w:id="41"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not an artefact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A second check used the</w:t>
      </w:r>
      <w:r>
        <w:t xml:space="preserve"> </w:t>
      </w:r>
      <w:r>
        <w:rPr>
          <w:i/>
          <w:iCs/>
        </w:rPr>
        <w:t xml:space="preserve">pre-milestone</w:t>
      </w:r>
      <w:r>
        <w:t xml:space="preserve"> </w:t>
      </w:r>
      <w:r>
        <w:t xml:space="preserve">(ages 13–14) volume alone as the only behavioral predictor (Supplementary Table S10). Pre-milestone volume predicted senior retention with HR = 0.50 per SD (95% CI [0.46, 0.53], p &lt; .001) — almost as strongly as the milestone-window variable, despite being measured at baseline rather than after it. The behavioral signal is detectable</w:t>
      </w:r>
      <w:r>
        <w:t xml:space="preserve"> </w:t>
      </w:r>
      <w:r>
        <w:rPr>
          <w:i/>
          <w:iCs/>
        </w:rPr>
        <w:t xml:space="preserve">before</w:t>
      </w:r>
      <w:r>
        <w:t xml:space="preserve"> </w:t>
      </w:r>
      <w:r>
        <w:t xml:space="preserve">the age 15–16 window, ruling out an interpretation in which it merely reflects dropouts already in progress.</w:t>
      </w:r>
    </w:p>
    <w:p>
      <w:pPr>
        <w:pStyle w:val="BodyText"/>
      </w:pPr>
      <w:r>
        <w:t xml:space="preserve">[</w:t>
      </w:r>
      <w:r>
        <w:rPr>
          <w:b/>
          <w:bCs/>
        </w:rPr>
        <w:t xml:space="preserve">Table 4 about here</w:t>
      </w:r>
      <w:r>
        <w:t xml:space="preserve">]</w:t>
      </w:r>
    </w:p>
    <w:bookmarkEnd w:id="41"/>
    <w:bookmarkStart w:id="42"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(Table 5). The protective effect of milestone-window volume was strongest in the first three years post-baseline (HR = 0.14, 95% CI: 0.11–0.16), moderate in years 3–6 (HR = 0.69, 95% CI: 0.60–0.79), and absent in years 6+ (HR = 0.96, 95% CI: 0.77–1.19). This pattern indicates that the behavioral signal predicts</w:t>
      </w:r>
      <w:r>
        <w:t xml:space="preserve"> </w:t>
      </w:r>
      <w:r>
        <w:rPr>
          <w:i/>
          <w:iCs/>
        </w:rPr>
        <w:t xml:space="preserve">proximal</w:t>
      </w:r>
      <w:r>
        <w:t xml:space="preserve"> </w:t>
      </w:r>
      <w:r>
        <w:t xml:space="preserve">(within 3 years) retention strongly and</w:t>
      </w:r>
      <w:r>
        <w:t xml:space="preserve"> </w:t>
      </w:r>
      <w:r>
        <w:rPr>
          <w:i/>
          <w:iCs/>
        </w:rPr>
        <w:t xml:space="preserve">late</w:t>
      </w:r>
      <w:r>
        <w:t xml:space="preserve"> </w:t>
      </w:r>
      <w:r>
        <w:t xml:space="preserve">retention (after the junior transition) weakly. Effect sizes for the other covariates were stable across windows.</w:t>
      </w:r>
    </w:p>
    <w:p>
      <w:pPr>
        <w:pStyle w:val="BodyText"/>
      </w:pPr>
      <w:r>
        <w:t xml:space="preserve">[</w:t>
      </w:r>
      <w:r>
        <w:rPr>
          <w:b/>
          <w:bCs/>
        </w:rPr>
        <w:t xml:space="preserve">Table 5 about here</w:t>
      </w:r>
      <w:r>
        <w:t xml:space="preserve">]</w:t>
      </w:r>
    </w:p>
    <w:bookmarkEnd w:id="42"/>
    <w:bookmarkStart w:id="43"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43"/>
    <w:bookmarkStart w:id="44"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At all thresholds, PPV ≥ 0.95 — the rule</w:t>
      </w:r>
      <w:r>
        <w:t xml:space="preserve"> </w:t>
      </w:r>
      <w:r>
        <w:t xml:space="preserve">“flag athletes whose milestone-window volume is below threshold”</w:t>
      </w:r>
      <w:r>
        <w:t xml:space="preserve"> </w:t>
      </w:r>
      <w:r>
        <w:t xml:space="preserve">is consistently informative. The decile-based calibration plot for the full Cox model (Supplementary Figure S1) shows close agreement between predicted and observed retention probabilities across the distribution.</w:t>
      </w:r>
    </w:p>
    <w:p>
      <w:pPr>
        <w:pStyle w:val="BodyText"/>
      </w:pPr>
      <w:r>
        <w:t xml:space="preserve">[</w:t>
      </w:r>
      <w:r>
        <w:rPr>
          <w:b/>
          <w:bCs/>
        </w:rPr>
        <w:t xml:space="preserve">Table 6 about here</w:t>
      </w:r>
      <w:r>
        <w:t xml:space="preserve">]</w:t>
      </w:r>
    </w:p>
    <w:bookmarkEnd w:id="44"/>
    <w:bookmarkStart w:id="45"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45"/>
    <w:bookmarkStart w:id="46"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p>
      <w:pPr>
        <w:pStyle w:val="BodyText"/>
      </w:pPr>
      <w:r>
        <w:t xml:space="preserve">[</w:t>
      </w:r>
      <w:r>
        <w:rPr>
          <w:b/>
          <w:bCs/>
        </w:rPr>
        <w:t xml:space="preserve">Table 7 about here</w:t>
      </w:r>
      <w:r>
        <w:t xml:space="preserve">]</w:t>
      </w:r>
    </w:p>
    <w:bookmarkEnd w:id="46"/>
    <w:bookmarkStart w:id="4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not an artefact of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these findings are not artefacts of measurement-tautology. Among the 1,167 athletes still demonstrably active at age 16, milestone-window volume remained the dominant predictor of subsequent senior retention (HR = 0.60 per SD, C-index = 0.735). The signal was also detectable using only</w:t>
      </w:r>
      <w:r>
        <w:t xml:space="preserve"> </w:t>
      </w:r>
      <w:r>
        <w:rPr>
          <w:i/>
          <w:iCs/>
        </w:rPr>
        <w:t xml:space="preserve">pre-milestone</w:t>
      </w:r>
      <w:r>
        <w:t xml:space="preserve"> </w:t>
      </w:r>
      <w:r>
        <w:t xml:space="preserve">(ages 13–14) competition volume (HR = 0.50 per SD), demonstrating that the behavioral antecedent exists</w:t>
      </w:r>
      <w:r>
        <w:t xml:space="preserve"> </w:t>
      </w:r>
      <w:r>
        <w:rPr>
          <w:i/>
          <w:iCs/>
        </w:rPr>
        <w:t xml:space="preserve">before</w:t>
      </w:r>
      <w:r>
        <w:t xml:space="preserve"> </w:t>
      </w:r>
      <w:r>
        <w:t xml:space="preserve">the qualification window itself. Effects were robust to outcome definition, club clustering, missing-data treatment, and an unmeasured-confounder E-value of 5.16. Period-specific Cox modelling showed that the protective volume effect is concentrated in the first three years post-baseline (HR = 0.14, ages 13–17) and dissipates among athletes who survive past the junior transition (HR = 0.96, age 19+), consistent with the substantive interpretation that the behavioral signal predicts</w:t>
      </w:r>
      <w:r>
        <w:t xml:space="preserve"> </w:t>
      </w:r>
      <w:r>
        <w:rPr>
          <w:i/>
          <w:iCs/>
        </w:rPr>
        <w:t xml:space="preserve">proximal</w:t>
      </w:r>
      <w:r>
        <w:t xml:space="preserve"> </w:t>
      </w:r>
      <w:r>
        <w:t xml:space="preserve">disengagement rather than lifelong disposition.</w:t>
      </w:r>
    </w:p>
    <w:bookmarkEnd w:id="49"/>
    <w:bookmarkStart w:id="5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50"/>
    <w:bookmarkStart w:id="5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1"/>
    <w:bookmarkStart w:id="5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2"/>
    <w:bookmarkStart w:id="5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53"/>
    <w:bookmarkStart w:id="5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that any of several plausible thresholds for</w:t>
      </w:r>
      <w:r>
        <w:t xml:space="preserve"> </w:t>
      </w:r>
      <w:r>
        <w:t xml:space="preserve">“flagging”</w:t>
      </w:r>
      <w:r>
        <w:t xml:space="preserve"> </w:t>
      </w:r>
      <w:r>
        <w:t xml:space="preserve">athletes by low milestone-window volume produces positive predictive values of 0.95 or higher: among athletes with fewer than 10 meets across ages 15–16, 97% subsequently dropped out before senior age. A federation could implement behavioral surveillance by tracking annual meet counts in the youth-to-junior transition and prioritizing outreach (coach check-ins, programme redesign, or simply contact) toward athletes whose age-15 count falls below threshold. The lead time — 2 to 3 years between behavioral decline and formal exit — is long enough that intervention is plausible.</w:t>
      </w:r>
    </w:p>
    <w:p>
      <w:pPr>
        <w:pStyle w:val="BodyText"/>
      </w:pPr>
      <w:r>
        <w:t xml:space="preserve">The time-varying analysis (Table 5) sharpens this: the volume signal is most informative in the first three years after baseline,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54"/>
    <w:bookmarkStart w:id="5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55"/>
    <w:bookmarkStart w:id="5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56"/>
    <w:bookmarkStart w:id="5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57"/>
    <w:bookmarkStart w:id="5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(APA 7th edition format)</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2026-05-17T23:11:44Z</dcterms:created>
  <dcterms:modified xsi:type="dcterms:W3CDTF">2026-05-17T23:11:44Z</dcterms:modified>
</cp:coreProperties>
</file>

<file path=docProps/custom.xml><?xml version="1.0" encoding="utf-8"?>
<Properties xmlns="http://schemas.openxmlformats.org/officeDocument/2006/custom-properties" xmlns:vt="http://schemas.openxmlformats.org/officeDocument/2006/docPropsVTypes"/>
</file>