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(Submitted as editable text; in the final Word manuscript, each table on its own page after the references. Supplementary Tables S1–S12 follow as supplementary material.)</w:t>
      </w:r>
    </w:p>
    <w:p>
      <w:r>
        <w:pict>
          <v:rect style="width:0;height:1.5pt" o:hralign="center" o:hrstd="t" o:hr="t"/>
        </w:pict>
      </w:r>
    </w:p>
    <w:bookmarkStart w:id="9" w:name="X3f3effad2eaa83c7207be569d73957223d2e30a"/>
    <w:p>
      <w:pPr>
        <w:pStyle w:val="Heading2"/>
      </w:pPr>
      <w:r>
        <w:t xml:space="preserve">Table 1. Cohort characteristics by birth-year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Characteristic</w:t>
            </w:r>
          </w:p>
        </w:tc>
        <w:tc>
          <w:tcPr/>
          <w:p>
            <w:pPr>
              <w:pStyle w:val="Compact"/>
            </w:pPr>
            <w:r>
              <w:t xml:space="preserve">Cohort A (1998–2000)</w:t>
            </w:r>
          </w:p>
        </w:tc>
        <w:tc>
          <w:tcPr/>
          <w:p>
            <w:pPr>
              <w:pStyle w:val="Compact"/>
            </w:pPr>
            <w:r>
              <w:t xml:space="preserve">Cohort B (2001–2002)</w:t>
            </w:r>
          </w:p>
        </w:tc>
        <w:tc>
          <w:tcPr/>
          <w:p>
            <w:pPr>
              <w:pStyle w:val="Compact"/>
            </w:pPr>
            <w:r>
              <w:t xml:space="preserve">All cohorts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1,301</w:t>
            </w:r>
          </w:p>
        </w:tc>
        <w:tc>
          <w:tcPr/>
          <w:p>
            <w:pPr>
              <w:pStyle w:val="Compact"/>
            </w:pPr>
            <w:r>
              <w:t xml:space="preserve">822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 (n)</w:t>
            </w:r>
          </w:p>
        </w:tc>
        <w:tc>
          <w:tcPr/>
          <w:p>
            <w:pPr>
              <w:pStyle w:val="Compact"/>
            </w:pPr>
            <w:r>
              <w:t xml:space="preserve">603</w:t>
            </w:r>
          </w:p>
        </w:tc>
        <w:tc>
          <w:tcPr/>
          <w:p>
            <w:pPr>
              <w:pStyle w:val="Compact"/>
            </w:pPr>
            <w:r>
              <w:t xml:space="preserve">393</w:t>
            </w:r>
          </w:p>
        </w:tc>
        <w:tc>
          <w:tcPr/>
          <w:p>
            <w:pPr>
              <w:pStyle w:val="Compact"/>
            </w:pPr>
            <w:r>
              <w:t xml:space="preserve">996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 (n)</w:t>
            </w:r>
          </w:p>
        </w:tc>
        <w:tc>
          <w:tcPr/>
          <w:p>
            <w:pPr>
              <w:pStyle w:val="Compact"/>
            </w:pPr>
            <w:r>
              <w:t xml:space="preserve">684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1,103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Sex unknown (n)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career length (years)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17 (%)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41.6</w:t>
            </w:r>
          </w:p>
        </w:tc>
        <w:tc>
          <w:tcPr/>
          <w:p>
            <w:pPr>
              <w:pStyle w:val="Compact"/>
            </w:pPr>
            <w:r>
              <w:t xml:space="preserve">41.3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at age 20 (%)</w:t>
            </w:r>
          </w:p>
        </w:tc>
        <w:tc>
          <w:tcPr/>
          <w:p>
            <w:pPr>
              <w:pStyle w:val="Compact"/>
            </w:pPr>
            <w:r>
              <w:t xml:space="preserve">15.8</w:t>
            </w:r>
          </w:p>
        </w:tc>
        <w:tc>
          <w:tcPr/>
          <w:p>
            <w:pPr>
              <w:pStyle w:val="Compact"/>
            </w:pPr>
            <w:r>
              <w:t xml:space="preserve">17.3</w:t>
            </w:r>
          </w:p>
        </w:tc>
        <w:tc>
          <w:tcPr/>
          <w:p>
            <w:pPr>
              <w:pStyle w:val="Compact"/>
            </w:pPr>
            <w:r>
              <w:t xml:space="preserve">16.4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Still active in 2024 or later (%)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10.8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Tyrving best at baseline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  <w:tc>
          <w:tcPr/>
          <w:p>
            <w:pPr>
              <w:pStyle w:val="Compact"/>
            </w:pPr>
            <w:r>
              <w:t xml:space="preserve">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competitions at age 15–16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“Active”</w:t>
      </w:r>
      <w:r>
        <w:t xml:space="preserve"> </w:t>
      </w:r>
      <w:r>
        <w:t xml:space="preserve">indicates ≥2 registered competition results in any calendar year at the specified age. Tyrving points = Norwegian Athletics Federation’s age-norm score where 1,000 =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for that event × sex × age combination.</w:t>
      </w:r>
    </w:p>
    <w:p>
      <w:r>
        <w:pict>
          <v:rect style="width:0;height:1.5pt" o:hralign="center" o:hrstd="t" o:hr="t"/>
        </w:pict>
      </w:r>
    </w:p>
    <w:bookmarkEnd w:id="9"/>
    <w:bookmarkStart w:id="10" w:name="X9a6c38783434298188d0179517197b4d55f1fe6"/>
    <w:p>
      <w:pPr>
        <w:pStyle w:val="Heading2"/>
      </w:pPr>
      <w:r>
        <w:t xml:space="preserve">Table 2. Competition volume trajectory by senior-retention status (median competitions per year and IQR)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Age 13</w:t>
            </w:r>
          </w:p>
        </w:tc>
        <w:tc>
          <w:tcPr/>
          <w:p>
            <w:pPr>
              <w:pStyle w:val="Compact"/>
            </w:pPr>
            <w:r>
              <w:t xml:space="preserve">Age 14</w:t>
            </w:r>
          </w:p>
        </w:tc>
        <w:tc>
          <w:tcPr/>
          <w:p>
            <w:pPr>
              <w:pStyle w:val="Compact"/>
            </w:pPr>
            <w:r>
              <w:t xml:space="preserve">Age 15</w:t>
            </w:r>
          </w:p>
        </w:tc>
        <w:tc>
          <w:tcPr/>
          <w:p>
            <w:pPr>
              <w:pStyle w:val="Compact"/>
            </w:pPr>
            <w:r>
              <w:t xml:space="preserve">Age 16</w:t>
            </w:r>
          </w:p>
        </w:tc>
        <w:tc>
          <w:tcPr/>
          <w:p>
            <w:pPr>
              <w:pStyle w:val="Compact"/>
            </w:pPr>
            <w:r>
              <w:t xml:space="preserve">Age 17</w:t>
            </w:r>
          </w:p>
        </w:tc>
        <w:tc>
          <w:tcPr/>
          <w:p>
            <w:pPr>
              <w:pStyle w:val="Compact"/>
            </w:pPr>
            <w:r>
              <w:t xml:space="preserve">Age 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Senior retainers (active age ≥20)</w:t>
            </w:r>
          </w:p>
        </w:tc>
        <w:tc>
          <w:tcPr/>
          <w:p>
            <w:pPr>
              <w:pStyle w:val="Compact"/>
            </w:pPr>
            <w:r>
              <w:t xml:space="preserve">348</w:t>
            </w:r>
          </w:p>
        </w:tc>
        <w:tc>
          <w:tcPr/>
          <w:p>
            <w:pPr>
              <w:pStyle w:val="Compact"/>
            </w:pPr>
            <w:r>
              <w:t xml:space="preserve">13 [6–21]</w:t>
            </w:r>
          </w:p>
        </w:tc>
        <w:tc>
          <w:tcPr/>
          <w:p>
            <w:pPr>
              <w:pStyle w:val="Compact"/>
            </w:pPr>
            <w:r>
              <w:t xml:space="preserve">17 [10–25]</w:t>
            </w:r>
          </w:p>
        </w:tc>
        <w:tc>
          <w:tcPr/>
          <w:p>
            <w:pPr>
              <w:pStyle w:val="Compact"/>
            </w:pPr>
            <w:r>
              <w:t xml:space="preserve">19 [11–27]</w:t>
            </w:r>
          </w:p>
        </w:tc>
        <w:tc>
          <w:tcPr/>
          <w:p>
            <w:pPr>
              <w:pStyle w:val="Compact"/>
            </w:pPr>
            <w:r>
              <w:t xml:space="preserve">18 [10–26]</w:t>
            </w:r>
          </w:p>
        </w:tc>
        <w:tc>
          <w:tcPr/>
          <w:p>
            <w:pPr>
              <w:pStyle w:val="Compact"/>
            </w:pPr>
            <w:r>
              <w:t xml:space="preserve">17 [10–24]</w:t>
            </w:r>
          </w:p>
        </w:tc>
        <w:tc>
          <w:tcPr/>
          <w:p>
            <w:pPr>
              <w:pStyle w:val="Compact"/>
            </w:pPr>
            <w:r>
              <w:t xml:space="preserve">14 [7–20]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Dropouts (last active age &lt;20)</w:t>
            </w:r>
          </w:p>
        </w:tc>
        <w:tc>
          <w:tcPr/>
          <w:p>
            <w:pPr>
              <w:pStyle w:val="Compact"/>
            </w:pPr>
            <w:r>
              <w:t xml:space="preserve">1,775</w:t>
            </w:r>
          </w:p>
        </w:tc>
        <w:tc>
          <w:tcPr/>
          <w:p>
            <w:pPr>
              <w:pStyle w:val="Compact"/>
            </w:pPr>
            <w:r>
              <w:t xml:space="preserve">8 [4–13]</w:t>
            </w:r>
          </w:p>
        </w:tc>
        <w:tc>
          <w:tcPr/>
          <w:p>
            <w:pPr>
              <w:pStyle w:val="Compact"/>
            </w:pPr>
            <w:r>
              <w:t xml:space="preserve">8 [3–14]</w:t>
            </w:r>
          </w:p>
        </w:tc>
        <w:tc>
          <w:tcPr/>
          <w:p>
            <w:pPr>
              <w:pStyle w:val="Compact"/>
            </w:pPr>
            <w:r>
              <w:t xml:space="preserve">3 [0–11]</w:t>
            </w:r>
          </w:p>
        </w:tc>
        <w:tc>
          <w:tcPr/>
          <w:p>
            <w:pPr>
              <w:pStyle w:val="Compact"/>
            </w:pPr>
            <w:r>
              <w:t xml:space="preserve">0 [0–7]</w:t>
            </w:r>
          </w:p>
        </w:tc>
        <w:tc>
          <w:tcPr/>
          <w:p>
            <w:pPr>
              <w:pStyle w:val="Compact"/>
            </w:pPr>
            <w:r>
              <w:t xml:space="preserve">0 [0–2]</w:t>
            </w:r>
          </w:p>
        </w:tc>
        <w:tc>
          <w:tcPr/>
          <w:p>
            <w:pPr>
              <w:pStyle w:val="Compact"/>
            </w:pPr>
            <w:r>
              <w:t xml:space="preserve">0 [0–0]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Values are median number of meets per year [IQR]. Trajectories diverge sharply from age 15.</w:t>
      </w:r>
    </w:p>
    <w:p>
      <w:r>
        <w:pict>
          <v:rect style="width:0;height:1.5pt" o:hralign="center" o:hrstd="t" o:hr="t"/>
        </w:pict>
      </w:r>
    </w:p>
    <w:bookmarkEnd w:id="10"/>
    <w:bookmarkStart w:id="11" w:name="X7d34bfa70e5826ca52b0a5ac69fbe0293f63528"/>
    <w:p>
      <w:pPr>
        <w:pStyle w:val="Heading2"/>
      </w:pPr>
      <w:r>
        <w:t xml:space="preserve">Table 3. Stepwise Cox proportional hazards models for time to dropout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M1: Sex only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[0.95, 1.14]</w:t>
            </w:r>
          </w:p>
        </w:tc>
        <w:tc>
          <w:tcPr/>
          <w:p>
            <w:pPr>
              <w:pStyle w:val="Compact"/>
            </w:pPr>
            <w:r>
              <w:t xml:space="preserve">.352</w:t>
            </w:r>
          </w:p>
        </w:tc>
        <w:tc>
          <w:tcPr/>
          <w:p>
            <w:pPr>
              <w:pStyle w:val="Compact"/>
            </w:pPr>
            <w:r>
              <w:t xml:space="preserve">0.498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M2: + Performance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[1.00, 1.22]</w:t>
            </w:r>
          </w:p>
        </w:tc>
        <w:tc>
          <w:tcPr/>
          <w:p>
            <w:pPr>
              <w:pStyle w:val="Compact"/>
            </w:pPr>
            <w:r>
              <w:t xml:space="preserve">.052</w:t>
            </w:r>
          </w:p>
        </w:tc>
        <w:tc>
          <w:tcPr/>
          <w:p>
            <w:pPr>
              <w:pStyle w:val="Compact"/>
            </w:pPr>
            <w:r>
              <w:t xml:space="preserve">0.574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M3: + Specialization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[1.00, 1.22]</w:t>
            </w:r>
          </w:p>
        </w:tc>
        <w:tc>
          <w:tcPr/>
          <w:p>
            <w:pPr>
              <w:pStyle w:val="Compact"/>
            </w:pPr>
            <w:r>
              <w:t xml:space="preserve">.059</w:t>
            </w:r>
          </w:p>
        </w:tc>
        <w:tc>
          <w:tcPr/>
          <w:p>
            <w:pPr>
              <w:pStyle w:val="Compact"/>
            </w:pPr>
            <w:r>
              <w:t xml:space="preserve">0.573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[0.93, 1.03]</w:t>
            </w:r>
          </w:p>
        </w:tc>
        <w:tc>
          <w:tcPr/>
          <w:p>
            <w:pPr>
              <w:pStyle w:val="Compact"/>
            </w:pPr>
            <w:r>
              <w:t xml:space="preserve">.455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M4: + Volume at milestone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[0.98, 1.20]</w:t>
            </w:r>
          </w:p>
        </w:tc>
        <w:tc>
          <w:tcPr/>
          <w:p>
            <w:pPr>
              <w:pStyle w:val="Compact"/>
            </w:pPr>
            <w:r>
              <w:t xml:space="preserve">.109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[0.99, 1.09]</w:t>
            </w:r>
          </w:p>
        </w:tc>
        <w:tc>
          <w:tcPr/>
          <w:p>
            <w:pPr>
              <w:pStyle w:val="Compact"/>
            </w:pPr>
            <w:r>
              <w:t xml:space="preserve">.169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[0.90, 1.00]</w:t>
            </w:r>
          </w:p>
        </w:tc>
        <w:tc>
          <w:tcPr/>
          <w:p>
            <w:pPr>
              <w:pStyle w:val="Compact"/>
            </w:pPr>
            <w:r>
              <w:t xml:space="preserve">.061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M5: + Championship types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[1.02, 1.24]</w:t>
            </w:r>
          </w:p>
        </w:tc>
        <w:tc>
          <w:tcPr/>
          <w:p>
            <w:pPr>
              <w:pStyle w:val="Compact"/>
            </w:pPr>
            <w:r>
              <w:t xml:space="preserve">.025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[1.00, 1.10]</w:t>
            </w:r>
          </w:p>
        </w:tc>
        <w:tc>
          <w:tcPr/>
          <w:p>
            <w:pPr>
              <w:pStyle w:val="Compact"/>
            </w:pPr>
            <w:r>
              <w:t xml:space="preserve">.060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[0.90, 1.01]</w:t>
            </w:r>
          </w:p>
        </w:tc>
        <w:tc>
          <w:tcPr/>
          <w:p>
            <w:pPr>
              <w:pStyle w:val="Compact"/>
            </w:pPr>
            <w:r>
              <w:t xml:space="preserve">.080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 (count, 0–4)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HRs are per one-SD increase for standardized covariates and per unit for the count of championship types. Schoenfeld residual tests detected proportional-hazards violations for vol_milepael, HHI early, and championship types; period-specific HRs are given in Table 5. The substantive effect is robust to the violation (Supplementary Table S6).</w:t>
      </w:r>
    </w:p>
    <w:p>
      <w:r>
        <w:pict>
          <v:rect style="width:0;height:1.5pt" o:hralign="center" o:hrstd="t" o:hr="t"/>
        </w:pict>
      </w:r>
    </w:p>
    <w:bookmarkEnd w:id="11"/>
    <w:bookmarkStart w:id="12" w:name="X2c07cb964a497adccfe12c5c8fadd35e743445f"/>
    <w:p>
      <w:pPr>
        <w:pStyle w:val="Heading2"/>
      </w:pPr>
      <w:r>
        <w:t xml:space="preserve">Table 4. Landmark analysis at age 16 — among athletes still active at age 16, does milestone-window volume predict subsequent senior retention?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1.32</w:t>
            </w:r>
          </w:p>
        </w:tc>
        <w:tc>
          <w:tcPr/>
          <w:p>
            <w:pPr>
              <w:pStyle w:val="Compact"/>
            </w:pPr>
            <w:r>
              <w:t xml:space="preserve">[1.15, 1.52]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1.01</w:t>
            </w:r>
          </w:p>
        </w:tc>
        <w:tc>
          <w:tcPr/>
          <w:p>
            <w:pPr>
              <w:pStyle w:val="Compact"/>
            </w:pPr>
            <w:r>
              <w:t xml:space="preserve">[0.94, 1.08]</w:t>
            </w:r>
          </w:p>
        </w:tc>
        <w:tc>
          <w:tcPr/>
          <w:p>
            <w:pPr>
              <w:pStyle w:val="Compact"/>
            </w:pPr>
            <w:r>
              <w:t xml:space="preserve">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1.02]</w:t>
            </w:r>
          </w:p>
        </w:tc>
        <w:tc>
          <w:tcPr/>
          <w:p>
            <w:pPr>
              <w:pStyle w:val="Compact"/>
            </w:pPr>
            <w:r>
              <w:t xml:space="preserve">.17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[0.54, 0.66]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[0.71,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960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Athletes still demonstrably active at age 16 (defined as ≥1 registered result at age 16; n = 1,167 of 2,123); n = 960 after complete-case restriction on covariates. Follow-up time measured from age 16. The volume effect remains the dominant predictor among continuing athletes, ruling out a measurement-tautology interpretation. A complementary analysis using only pre-milestone (ages 13–14) volume produced HR = 0.50 (Supplementary Table S10), showing the signal is detectable before the milestone window itself.</w:t>
      </w:r>
    </w:p>
    <w:p>
      <w:r>
        <w:pict>
          <v:rect style="width:0;height:1.5pt" o:hralign="center" o:hrstd="t" o:hr="t"/>
        </w:pict>
      </w:r>
    </w:p>
    <w:bookmarkEnd w:id="12"/>
    <w:bookmarkStart w:id="13" w:name="Xa05187ee0a9bef3703e8a486f85bae536c25ebe"/>
    <w:p>
      <w:pPr>
        <w:pStyle w:val="Heading2"/>
      </w:pPr>
      <w:r>
        <w:t xml:space="preserve">Table 5. Time-varying hazard ratios across follow-up periods (full Cox model, period-specific)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Years 0–3 (age 13–17)</w:t>
            </w:r>
          </w:p>
        </w:tc>
        <w:tc>
          <w:tcPr/>
          <w:p>
            <w:pPr>
              <w:pStyle w:val="Compact"/>
            </w:pPr>
            <w:r>
              <w:t xml:space="preserve">Years 3–6 (age 16–19)</w:t>
            </w:r>
          </w:p>
        </w:tc>
        <w:tc>
          <w:tcPr/>
          <w:p>
            <w:pPr>
              <w:pStyle w:val="Compact"/>
            </w:pPr>
            <w:r>
              <w:t xml:space="preserve">Years 6+ (age 19+)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0.14 [0.11, 0.16]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0.69 [0.60, 0.79]</w:t>
            </w:r>
          </w:p>
        </w:tc>
        <w:tc>
          <w:tcPr/>
          <w:p>
            <w:pPr>
              <w:pStyle w:val="Compact"/>
            </w:pPr>
            <w:r>
              <w:t xml:space="preserve">0.96 [0.77, 1.19]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(count)</w:t>
            </w:r>
          </w:p>
        </w:tc>
        <w:tc>
          <w:tcPr/>
          <w:p>
            <w:pPr>
              <w:pStyle w:val="Compact"/>
            </w:pPr>
            <w:r>
              <w:t xml:space="preserve">0.61 [0.55, 0.69]</w:t>
            </w:r>
          </w:p>
        </w:tc>
        <w:tc>
          <w:tcPr/>
          <w:p>
            <w:pPr>
              <w:pStyle w:val="Compact"/>
            </w:pPr>
            <w:r>
              <w:t xml:space="preserve">0.88 [0.79, 0.99]</w:t>
            </w:r>
          </w:p>
        </w:tc>
        <w:tc>
          <w:tcPr/>
          <w:p>
            <w:pPr>
              <w:pStyle w:val="Compact"/>
            </w:pPr>
            <w:r>
              <w:t xml:space="preserve">0.97 [0.78,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 [0.99, 1.15]</w:t>
            </w:r>
          </w:p>
        </w:tc>
        <w:tc>
          <w:tcPr/>
          <w:p>
            <w:pPr>
              <w:pStyle w:val="Compact"/>
            </w:pPr>
            <w:r>
              <w:t xml:space="preserve">0.92 [0.84, 1.01]</w:t>
            </w:r>
          </w:p>
        </w:tc>
        <w:tc>
          <w:tcPr/>
          <w:p>
            <w:pPr>
              <w:pStyle w:val="Compact"/>
            </w:pPr>
            <w:r>
              <w:t xml:space="preserve">0.94 [0.78, 1.13]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0.97 [0.91, 1.05]</w:t>
            </w:r>
          </w:p>
        </w:tc>
        <w:tc>
          <w:tcPr/>
          <w:p>
            <w:pPr>
              <w:pStyle w:val="Compact"/>
            </w:pPr>
            <w:r>
              <w:t xml:space="preserve">0.93 [0.85, 1.02]</w:t>
            </w:r>
          </w:p>
        </w:tc>
        <w:tc>
          <w:tcPr/>
          <w:p>
            <w:pPr>
              <w:pStyle w:val="Compact"/>
            </w:pPr>
            <w:r>
              <w:t xml:space="preserve">1.02 [0.85, 1.21]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1.16 [1.02, 1.31]</w:t>
            </w:r>
          </w:p>
        </w:tc>
        <w:tc>
          <w:tcPr/>
          <w:p>
            <w:pPr>
              <w:pStyle w:val="Compact"/>
            </w:pPr>
            <w:r>
              <w:t xml:space="preserve">1.06 [0.91, 1.23]</w:t>
            </w:r>
          </w:p>
        </w:tc>
        <w:tc>
          <w:tcPr/>
          <w:p>
            <w:pPr>
              <w:pStyle w:val="Compact"/>
            </w:pPr>
            <w:r>
              <w:t xml:space="preserve">1.09 [0.85, 1.39]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at risk in interval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669</w:t>
            </w:r>
          </w:p>
        </w:tc>
        <w:tc>
          <w:tcPr/>
          <w:p>
            <w:pPr>
              <w:pStyle w:val="Compact"/>
            </w:pPr>
            <w:r>
              <w:t xml:space="preserve">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in interval</w:t>
            </w:r>
          </w:p>
        </w:tc>
        <w:tc>
          <w:tcPr/>
          <w:p>
            <w:pPr>
              <w:pStyle w:val="Compact"/>
            </w:pPr>
            <w:r>
              <w:t xml:space="preserve">1,035</w:t>
            </w:r>
          </w:p>
        </w:tc>
        <w:tc>
          <w:tcPr/>
          <w:p>
            <w:pPr>
              <w:pStyle w:val="Compact"/>
            </w:pPr>
            <w:r>
              <w:t xml:space="preserve">399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C-index</w:t>
            </w:r>
          </w:p>
        </w:tc>
        <w:tc>
          <w:tcPr/>
          <w:p>
            <w:pPr>
              <w:pStyle w:val="Compact"/>
            </w:pPr>
            <w:r>
              <w:t xml:space="preserve">0.894</w:t>
            </w:r>
          </w:p>
        </w:tc>
        <w:tc>
          <w:tcPr/>
          <w:p>
            <w:pPr>
              <w:pStyle w:val="Compact"/>
            </w:pPr>
            <w:r>
              <w:t xml:space="preserve">0.661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dominant predictor — competition volume at age 15–16 — is most protective in the first three years after baseline (when most dropout occurs), moderately protective in years 3–6 (the junior transition), and indistinguishable from null in years 6+ (athletes who have survived the junior transition).</w:t>
      </w:r>
    </w:p>
    <w:p>
      <w:r>
        <w:pict>
          <v:rect style="width:0;height:1.5pt" o:hralign="center" o:hrstd="t" o:hr="t"/>
        </w:pict>
      </w:r>
    </w:p>
    <w:bookmarkEnd w:id="13"/>
    <w:bookmarkStart w:id="14" w:name="X1617fc3b22b5b5cc20d6b4ed269a2b13f074c0a"/>
    <w:p>
      <w:pPr>
        <w:pStyle w:val="Heading2"/>
      </w:pPr>
      <w:r>
        <w:t xml:space="preserve">Table 6. Calibration of milestone-window volume as a behavioral early-warning indicator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Threshold (athletes flagged if vol &lt; )</w:t>
            </w:r>
          </w:p>
        </w:tc>
        <w:tc>
          <w:tcPr/>
          <w:p>
            <w:pPr>
              <w:pStyle w:val="Compact"/>
            </w:pPr>
            <w:r>
              <w:t xml:space="preserve">Flagged %</w:t>
            </w:r>
          </w:p>
        </w:tc>
        <w:tc>
          <w:tcPr/>
          <w:p>
            <w:pPr>
              <w:pStyle w:val="Compact"/>
            </w:pPr>
            <w:r>
              <w:t xml:space="preserve">Sensitivity</w:t>
            </w:r>
          </w:p>
        </w:tc>
        <w:tc>
          <w:tcPr/>
          <w:p>
            <w:pPr>
              <w:pStyle w:val="Compact"/>
            </w:pPr>
            <w:r>
              <w:t xml:space="preserve">Specificity</w:t>
            </w:r>
          </w:p>
        </w:tc>
        <w:tc>
          <w:tcPr/>
          <w:p>
            <w:pPr>
              <w:pStyle w:val="Compact"/>
            </w:pPr>
            <w:r>
              <w:t xml:space="preserve">PPV</w:t>
            </w:r>
          </w:p>
        </w:tc>
        <w:tc>
          <w:tcPr/>
          <w:p>
            <w:pPr>
              <w:pStyle w:val="Compact"/>
            </w:pPr>
            <w:r>
              <w:t xml:space="preserve">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meet (vol = 0)</w:t>
            </w:r>
          </w:p>
        </w:tc>
        <w:tc>
          <w:tcPr/>
          <w:p>
            <w:pPr>
              <w:pStyle w:val="Compact"/>
            </w:pPr>
            <w:r>
              <w:t xml:space="preserve">27.7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meets</w:t>
            </w:r>
          </w:p>
        </w:tc>
        <w:tc>
          <w:tcPr/>
          <w:p>
            <w:pPr>
              <w:pStyle w:val="Compact"/>
            </w:pPr>
            <w:r>
              <w:t xml:space="preserve">42.2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meets</w:t>
            </w:r>
          </w:p>
        </w:tc>
        <w:tc>
          <w:tcPr/>
          <w:p>
            <w:pPr>
              <w:pStyle w:val="Compact"/>
            </w:pPr>
            <w:r>
              <w:t xml:space="preserve">53.7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meets</w:t>
            </w:r>
          </w:p>
        </w:tc>
        <w:tc>
          <w:tcPr/>
          <w:p>
            <w:pPr>
              <w:pStyle w:val="Compact"/>
            </w:pPr>
            <w:r>
              <w:t xml:space="preserve">60.2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meets</w:t>
            </w:r>
          </w:p>
        </w:tc>
        <w:tc>
          <w:tcPr/>
          <w:p>
            <w:pPr>
              <w:pStyle w:val="Compact"/>
            </w:pPr>
            <w:r>
              <w:t xml:space="preserve">67.1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PPV (positive predictive value) is the proportion of flagged athletes who subsequently dropped out before senior age. Across all thresholds PPV ≥ 0.95, indicating that the rule</w:t>
      </w:r>
      <w:r>
        <w:t xml:space="preserve"> </w:t>
      </w:r>
      <w:r>
        <w:t xml:space="preserve">“flag athletes whose milestone-window volume is below threshold”</w:t>
      </w:r>
      <w:r>
        <w:t xml:space="preserve"> </w:t>
      </w:r>
      <w:r>
        <w:t xml:space="preserve">is consistently informative. The choice of threshold trades sensitivity for cohort coverage but does not change PPV materially.</w:t>
      </w:r>
    </w:p>
    <w:p>
      <w:r>
        <w:pict>
          <v:rect style="width:0;height:1.5pt" o:hralign="center" o:hrstd="t" o:hr="t"/>
        </w:pict>
      </w:r>
    </w:p>
    <w:bookmarkEnd w:id="14"/>
    <w:bookmarkStart w:id="15" w:name="X1b567785133ca62f4b74fa1df86e694c66837dd"/>
    <w:p>
      <w:pPr>
        <w:pStyle w:val="Heading2"/>
      </w:pPr>
      <w:r>
        <w:t xml:space="preserve">Table 7. Cross-cohort replication: full Cox model fit separately in each birth cohort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C-index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  <w:tc>
          <w:tcPr/>
          <w:p>
            <w:pPr>
              <w:pStyle w:val="Compact"/>
            </w:pPr>
            <w:r>
              <w:t xml:space="preserve">[1.05, 1.35]</w:t>
            </w:r>
          </w:p>
        </w:tc>
        <w:tc>
          <w:tcPr/>
          <w:p>
            <w:pPr>
              <w:pStyle w:val="Compact"/>
            </w:pPr>
            <w:r>
              <w:t xml:space="preserve">.006</w:t>
            </w:r>
          </w:p>
        </w:tc>
        <w:tc>
          <w:tcPr/>
          <w:p>
            <w:pPr>
              <w:pStyle w:val="Compact"/>
            </w:pPr>
            <w:r>
              <w:t xml:space="preserve">0.835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1.10]</w:t>
            </w:r>
          </w:p>
        </w:tc>
        <w:tc>
          <w:tcPr/>
          <w:p>
            <w:pPr>
              <w:pStyle w:val="Compact"/>
            </w:pPr>
            <w:r>
              <w:t xml:space="preserve">.275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[0.94, 1.07]</w:t>
            </w:r>
          </w:p>
        </w:tc>
        <w:tc>
          <w:tcPr/>
          <w:p>
            <w:pPr>
              <w:pStyle w:val="Compact"/>
            </w:pPr>
            <w:r>
              <w:t xml:space="preserve">.966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[0.44, 0.55]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[0.65, 0.78]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1.02</w:t>
            </w:r>
          </w:p>
        </w:tc>
        <w:tc>
          <w:tcPr/>
          <w:p>
            <w:pPr>
              <w:pStyle w:val="Compact"/>
            </w:pPr>
            <w:r>
              <w:t xml:space="preserve">[0.86, 1.21]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  <w:tc>
          <w:tcPr/>
          <w:p>
            <w:pPr>
              <w:pStyle w:val="Compact"/>
            </w:pPr>
            <w:r>
              <w:t xml:space="preserve">0.852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  <w:tc>
          <w:tcPr/>
          <w:p>
            <w:pPr>
              <w:pStyle w:val="Compact"/>
            </w:pPr>
            <w:r>
              <w:t xml:space="preserve">[1.00, 1.19]</w:t>
            </w:r>
          </w:p>
        </w:tc>
        <w:tc>
          <w:tcPr/>
          <w:p>
            <w:pPr>
              <w:pStyle w:val="Compact"/>
            </w:pPr>
            <w:r>
              <w:t xml:space="preserve">.047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[0.80, 0.96]</w:t>
            </w:r>
          </w:p>
        </w:tc>
        <w:tc>
          <w:tcPr/>
          <w:p>
            <w:pPr>
              <w:pStyle w:val="Compact"/>
            </w:pPr>
            <w:r>
              <w:t xml:space="preserve">.004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[0.31, 0.43]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  <w:tc>
          <w:tcPr/>
          <w:p>
            <w:pPr>
              <w:pStyle w:val="Compact"/>
            </w:pPr>
            <w:r>
              <w:t xml:space="preserve">[0.68,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The milestone-window volume effect replicates in both cohorts at similar magnitude and direction. The cohort difference in the sex coefficient is discussed in the text.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9" w:name="supplementary-tables"/>
    <w:p>
      <w:pPr>
        <w:pStyle w:val="Heading1"/>
      </w:pPr>
      <w:r>
        <w:t xml:space="preserve">Supplementary Tables</w:t>
      </w:r>
    </w:p>
    <w:bookmarkStart w:id="17" w:name="X69049062199ed7b59abddc124a6723c5caf8be2"/>
    <w:p>
      <w:pPr>
        <w:pStyle w:val="Heading2"/>
      </w:pPr>
      <w:r>
        <w:t xml:space="preserve">Table S1. Proportional-hazards assumption test (Schoenfeld residuals)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χ²₁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.114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.728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11.12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220.77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10.89</w:t>
            </w:r>
          </w:p>
        </w:tc>
        <w:tc>
          <w:tcPr/>
          <w:p>
            <w:pPr>
              <w:pStyle w:val="Compact"/>
            </w:pPr>
            <w:r>
              <w:t xml:space="preserve">.001</w:t>
            </w:r>
          </w:p>
        </w:tc>
      </w:tr>
    </w:tbl>
    <w:bookmarkEnd w:id="17"/>
    <w:bookmarkStart w:id="18" w:name="X5efa0e4ea7c9273d8e5bee5ada8e05eec14d582"/>
    <w:p>
      <w:pPr>
        <w:pStyle w:val="Heading2"/>
      </w:pPr>
      <w:r>
        <w:t xml:space="preserve">Table S2. Cluster-robust SE Cox (clustered on club)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Robust 95% CI</w:t>
            </w:r>
          </w:p>
        </w:tc>
        <w:tc>
          <w:tcPr/>
          <w:p>
            <w:pPr>
              <w:pStyle w:val="Compact"/>
            </w:pPr>
            <w:r>
              <w:t xml:space="preserve">p (robust)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[0.98, 1.28]</w:t>
            </w:r>
          </w:p>
        </w:tc>
        <w:tc>
          <w:tcPr/>
          <w:p>
            <w:pPr>
              <w:pStyle w:val="Compact"/>
            </w:pPr>
            <w:r>
              <w:t xml:space="preserve">.090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[0.99, 1.12]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[0.88, 1.04]</w:t>
            </w:r>
          </w:p>
        </w:tc>
        <w:tc>
          <w:tcPr/>
          <w:p>
            <w:pPr>
              <w:pStyle w:val="Compact"/>
            </w:pPr>
            <w:r>
              <w:t xml:space="preserve">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[0.40,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18"/>
    <w:bookmarkStart w:id="19" w:name="Xb3314dc8fb4dec101d71f2b9e359489d8f2d541"/>
    <w:p>
      <w:pPr>
        <w:pStyle w:val="Heading2"/>
      </w:pPr>
      <w:r>
        <w:t xml:space="preserve">Table S3. E-values for key effects (VanderWeele &amp; Ding, 2017)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E-value (point)</w:t>
            </w:r>
          </w:p>
        </w:tc>
        <w:tc>
          <w:tcPr/>
          <w:p>
            <w:pPr>
              <w:pStyle w:val="Compact"/>
            </w:pPr>
            <w:r>
              <w:t xml:space="preserve">E-value (CI bound)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(per SD)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[0.33, 0.38]</w:t>
            </w:r>
          </w:p>
        </w:tc>
        <w:tc>
          <w:tcPr/>
          <w:p>
            <w:pPr>
              <w:pStyle w:val="Compact"/>
            </w:pPr>
            <w:r>
              <w:t xml:space="preserve">5.16</w:t>
            </w:r>
          </w:p>
        </w:tc>
        <w:tc>
          <w:tcPr/>
          <w:p>
            <w:pPr>
              <w:pStyle w:val="Compact"/>
            </w:pPr>
            <w:r>
              <w:t xml:space="preserve">4.70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 (per type)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[0.69, 0.80]</w:t>
            </w:r>
          </w:p>
        </w:tc>
        <w:tc>
          <w:tcPr/>
          <w:p>
            <w:pPr>
              <w:pStyle w:val="Compact"/>
            </w:pPr>
            <w:r>
              <w:t xml:space="preserve">2.04</w:t>
            </w:r>
          </w:p>
        </w:tc>
        <w:tc>
          <w:tcPr/>
          <w:p>
            <w:pPr>
              <w:pStyle w:val="Compact"/>
            </w:pPr>
            <w:r>
              <w:t xml:space="preserve">1.81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at baseline (per SD, M2)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[0.82, 0.90]</w:t>
            </w:r>
          </w:p>
        </w:tc>
        <w:tc>
          <w:tcPr/>
          <w:p>
            <w:pPr>
              <w:pStyle w:val="Compact"/>
            </w:pPr>
            <w:r>
              <w:t xml:space="preserve">1.60</w:t>
            </w:r>
          </w:p>
        </w:tc>
        <w:tc>
          <w:tcPr/>
          <w:p>
            <w:pPr>
              <w:pStyle w:val="Compact"/>
            </w:pPr>
            <w:r>
              <w:t xml:space="preserve">1.46</w:t>
            </w:r>
          </w:p>
        </w:tc>
      </w:tr>
    </w:tbl>
    <w:bookmarkEnd w:id="19"/>
    <w:bookmarkStart w:id="20" w:name="X51a846a8f036607c4d86aa6dc40dff1f8e38e62"/>
    <w:p>
      <w:pPr>
        <w:pStyle w:val="Heading2"/>
      </w:pPr>
      <w:r>
        <w:t xml:space="preserve">Table S4. Sample-size sensitivity: minimum detectable HR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Cohort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Min. detectable HR (80% power, α = 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1,570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1998–2000</w:t>
            </w:r>
          </w:p>
        </w:tc>
        <w:tc>
          <w:tcPr/>
          <w:p>
            <w:pPr>
              <w:pStyle w:val="Compact"/>
            </w:pPr>
            <w:r>
              <w:t xml:space="preserve">1,065</w:t>
            </w:r>
          </w:p>
        </w:tc>
        <w:tc>
          <w:tcPr/>
          <w:p>
            <w:pPr>
              <w:pStyle w:val="Compact"/>
            </w:pPr>
            <w:r>
              <w:t xml:space="preserve">1,008</w:t>
            </w:r>
          </w:p>
        </w:tc>
        <w:tc>
          <w:tcPr/>
          <w:p>
            <w:pPr>
              <w:pStyle w:val="Compact"/>
            </w:pPr>
            <w:r>
              <w:t xml:space="preserve">1.09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2001–2002</w:t>
            </w:r>
          </w:p>
        </w:tc>
        <w:tc>
          <w:tcPr/>
          <w:p>
            <w:pPr>
              <w:pStyle w:val="Compact"/>
            </w:pPr>
            <w:r>
              <w:t xml:space="preserve">639</w:t>
            </w:r>
          </w:p>
        </w:tc>
        <w:tc>
          <w:tcPr/>
          <w:p>
            <w:pPr>
              <w:pStyle w:val="Compact"/>
            </w:pPr>
            <w:r>
              <w:t xml:space="preserve">562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</w:tr>
    </w:tbl>
    <w:bookmarkEnd w:id="20"/>
    <w:bookmarkStart w:id="21" w:name="X7412c6aa52af0c16122eaafd611db1756b404cd"/>
    <w:p>
      <w:pPr>
        <w:pStyle w:val="Heading2"/>
      </w:pPr>
      <w:r>
        <w:t xml:space="preserve">Table S5. Complete-case vs mean-imputation sensitivity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 (complete case)</w:t>
            </w:r>
          </w:p>
        </w:tc>
        <w:tc>
          <w:tcPr/>
          <w:p>
            <w:pPr>
              <w:pStyle w:val="Compact"/>
            </w:pPr>
            <w:r>
              <w:t xml:space="preserve">HR (mean imputation)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  <w:tc>
          <w:tcPr/>
          <w:p>
            <w:pPr>
              <w:pStyle w:val="Compact"/>
            </w:pPr>
            <w:r>
              <w:t xml:space="preserve">1.05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1,704</w:t>
            </w:r>
          </w:p>
        </w:tc>
        <w:tc>
          <w:tcPr/>
          <w:p>
            <w:pPr>
              <w:pStyle w:val="Compact"/>
            </w:pPr>
            <w:r>
              <w:t xml:space="preserve">2,123</w:t>
            </w:r>
          </w:p>
        </w:tc>
      </w:tr>
    </w:tbl>
    <w:bookmarkEnd w:id="21"/>
    <w:bookmarkStart w:id="22" w:name="X0c71959630f98098428a376eff52756fbaccabd"/>
    <w:p>
      <w:pPr>
        <w:pStyle w:val="Heading2"/>
      </w:pPr>
      <w:r>
        <w:t xml:space="preserve">Table S6. Cox model stratified on HHI tercile (sensitivity to PH violation)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.093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bookmarkEnd w:id="22"/>
    <w:bookmarkStart w:id="23" w:name="Xc5dd1c4c02026840d5c61b2f77d535f234f96d0"/>
    <w:p>
      <w:pPr>
        <w:pStyle w:val="Heading2"/>
      </w:pPr>
      <w:r>
        <w:t xml:space="preserve">Table S7. Subgroup analysis by sex (full Cox model)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Male</w:t>
            </w:r>
          </w:p>
        </w:tc>
        <w:tc>
          <w:tcPr/>
          <w:p>
            <w:pPr>
              <w:pStyle w:val="Compact"/>
            </w:pPr>
            <w:r>
              <w:t xml:space="preserve">805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[0.99, 1.15]</w:t>
            </w:r>
          </w:p>
        </w:tc>
        <w:tc>
          <w:tcPr/>
          <w:p>
            <w:pPr>
              <w:pStyle w:val="Compact"/>
            </w:pPr>
            <w:r>
              <w:t xml:space="preserve">.074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[0.85, 1.01]</w:t>
            </w:r>
          </w:p>
        </w:tc>
        <w:tc>
          <w:tcPr/>
          <w:p>
            <w:pPr>
              <w:pStyle w:val="Compact"/>
            </w:pPr>
            <w:r>
              <w:t xml:space="preserve">.083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[0.37, 0.48]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[0.66,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899</w:t>
            </w:r>
          </w:p>
        </w:tc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[0.97, 1.11]</w:t>
            </w:r>
          </w:p>
        </w:tc>
        <w:tc>
          <w:tcPr/>
          <w:p>
            <w:pPr>
              <w:pStyle w:val="Compact"/>
            </w:pPr>
            <w:r>
              <w:t xml:space="preserve">.306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[0.92, 1.06]</w:t>
            </w:r>
          </w:p>
        </w:tc>
        <w:tc>
          <w:tcPr/>
          <w:p>
            <w:pPr>
              <w:pStyle w:val="Compact"/>
            </w:pPr>
            <w:r>
              <w:t xml:space="preserve">.770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[0.40, 0.52]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[0.67, 0.83]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Effect directions and magnitudes are concordant across sexes; C-index = 0.843 in both subgroups.</w:t>
      </w:r>
    </w:p>
    <w:bookmarkEnd w:id="23"/>
    <w:bookmarkStart w:id="24" w:name="Xd8c75d885ed4f74fb99aada8fe315994e299868"/>
    <w:p>
      <w:pPr>
        <w:pStyle w:val="Heading2"/>
      </w:pPr>
      <w:r>
        <w:t xml:space="preserve">Table S8. Cross-validated AUC for nested predictor subsets predicting senior retention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Predictor set</w:t>
            </w:r>
          </w:p>
        </w:tc>
        <w:tc>
          <w:tcPr/>
          <w:p>
            <w:pPr>
              <w:pStyle w:val="Compact"/>
            </w:pPr>
            <w:r>
              <w:t xml:space="preserve">n features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AUC (logistic)</w:t>
            </w:r>
          </w:p>
        </w:tc>
        <w:tc>
          <w:tcPr/>
          <w:p>
            <w:pPr>
              <w:pStyle w:val="Compact"/>
            </w:pPr>
            <w:r>
              <w:t xml:space="preserve">AUC (random forest)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only (sex + Tyrving best)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0.59 (±0.04)</w:t>
            </w:r>
          </w:p>
        </w:tc>
        <w:tc>
          <w:tcPr/>
          <w:p>
            <w:pPr>
              <w:pStyle w:val="Compact"/>
            </w:pPr>
            <w:r>
              <w:t xml:space="preserve">0.58 (±0.02)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Specialization only (sex + HHI + n categories)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0.60 (±0.06)</w:t>
            </w:r>
          </w:p>
        </w:tc>
        <w:tc>
          <w:tcPr/>
          <w:p>
            <w:pPr>
              <w:pStyle w:val="Compact"/>
            </w:pPr>
            <w:r>
              <w:t xml:space="preserve">0.57 (±0.05)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only (sex + meets ages 13–16)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 + specialization (pre-baseline behavioral)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  <w:tc>
          <w:tcPr/>
          <w:p>
            <w:pPr>
              <w:pStyle w:val="Compact"/>
            </w:pPr>
            <w:r>
              <w:t xml:space="preserve">0.80 (±0.03)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model (all 22 predictors)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1,217</w:t>
            </w:r>
          </w:p>
        </w:tc>
        <w:tc>
          <w:tcPr/>
          <w:p>
            <w:pPr>
              <w:pStyle w:val="Compact"/>
            </w:pPr>
            <w:r>
              <w:t xml:space="preserve">0.81 (±0.03)</w:t>
            </w:r>
          </w:p>
        </w:tc>
        <w:tc>
          <w:tcPr/>
          <w:p>
            <w:pPr>
              <w:pStyle w:val="Compact"/>
            </w:pPr>
            <w:r>
              <w:t xml:space="preserve">0.82 (±0.03)</w:t>
            </w:r>
          </w:p>
        </w:tc>
      </w:tr>
    </w:tbl>
    <w:bookmarkEnd w:id="24"/>
    <w:bookmarkStart w:id="25" w:name="X1058f84d51582e9d3993a1a3c5d2fec6244da35"/>
    <w:p>
      <w:pPr>
        <w:pStyle w:val="Heading2"/>
      </w:pPr>
      <w:r>
        <w:t xml:space="preserve">Table S9. Outcome-definition sensitivity (logistic regression, full model)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Retainer n (%)</w:t>
            </w:r>
          </w:p>
        </w:tc>
        <w:tc>
          <w:tcPr/>
          <w:p>
            <w:pPr>
              <w:pStyle w:val="Compact"/>
            </w:pPr>
            <w:r>
              <w:t xml:space="preserve">OR (vol_milepael per SD)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≥1 senior-age (20+) result</w:t>
            </w:r>
          </w:p>
        </w:tc>
        <w:tc>
          <w:tcPr/>
          <w:p>
            <w:pPr>
              <w:pStyle w:val="Compact"/>
            </w:pPr>
            <w:r>
              <w:t xml:space="preserve">411 (19.4%)</w:t>
            </w:r>
          </w:p>
        </w:tc>
        <w:tc>
          <w:tcPr/>
          <w:p>
            <w:pPr>
              <w:pStyle w:val="Compact"/>
            </w:pPr>
            <w:r>
              <w:t xml:space="preserve">2.79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≥2 results in any senior-age year (primary)</w:t>
            </w:r>
          </w:p>
        </w:tc>
        <w:tc>
          <w:tcPr/>
          <w:p>
            <w:pPr>
              <w:pStyle w:val="Compact"/>
            </w:pPr>
            <w:r>
              <w:t xml:space="preserve">348 (16.4%)</w:t>
            </w:r>
          </w:p>
        </w:tc>
        <w:tc>
          <w:tcPr/>
          <w:p>
            <w:pPr>
              <w:pStyle w:val="Compact"/>
            </w:pPr>
            <w:r>
              <w:t xml:space="preserve">3.08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≥2 results in each of two distinct senior-age years</w:t>
            </w:r>
          </w:p>
        </w:tc>
        <w:tc>
          <w:tcPr/>
          <w:p>
            <w:pPr>
              <w:pStyle w:val="Compact"/>
            </w:pPr>
            <w:r>
              <w:t xml:space="preserve">254 (12.0%)</w:t>
            </w:r>
          </w:p>
        </w:tc>
        <w:tc>
          <w:tcPr/>
          <w:p>
            <w:pPr>
              <w:pStyle w:val="Compact"/>
            </w:pPr>
            <w:r>
              <w:t xml:space="preserve">2.94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</w:tbl>
    <w:bookmarkEnd w:id="25"/>
    <w:bookmarkStart w:id="26" w:name="X8ad7662995750cb8a3909655a8ffa090e1cf80d"/>
    <w:p>
      <w:pPr>
        <w:pStyle w:val="Heading2"/>
      </w:pPr>
      <w:r>
        <w:t xml:space="preserve">Table S10. Lagged volume — pre-milestone (ages 13–14) alone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[1.04, 1.27]</w:t>
            </w:r>
          </w:p>
        </w:tc>
        <w:tc>
          <w:tcPr/>
          <w:p>
            <w:pPr>
              <w:pStyle w:val="Compact"/>
            </w:pPr>
            <w:r>
              <w:t xml:space="preserve">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[0.95, 1.05]</w:t>
            </w:r>
          </w:p>
        </w:tc>
        <w:tc>
          <w:tcPr/>
          <w:p>
            <w:pPr>
              <w:pStyle w:val="Compac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[0.76, 0.85]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Pre-milestone volume (z, ages 13–14)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n = 1,704; C-index = 0.743. Behavioral signal is detectable using only pre-milestone data.</w:t>
      </w:r>
    </w:p>
    <w:bookmarkEnd w:id="26"/>
    <w:bookmarkStart w:id="27" w:name="X455b0fd8e754bb2e8b14c2ff2e7ee6b0e2cdf9a"/>
    <w:p>
      <w:pPr>
        <w:pStyle w:val="Heading2"/>
      </w:pPr>
      <w:r>
        <w:t xml:space="preserve">Table S11. Sensitivity excluding zero-volume athletes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Covariate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Female</w:t>
            </w:r>
          </w:p>
        </w:tc>
        <w:tc>
          <w:tcPr/>
          <w:p>
            <w:pPr>
              <w:pStyle w:val="Compact"/>
            </w:pPr>
            <w:r>
              <w:t xml:space="preserve">1.20</w:t>
            </w:r>
          </w:p>
        </w:tc>
        <w:tc>
          <w:tcPr/>
          <w:p>
            <w:pPr>
              <w:pStyle w:val="Compact"/>
            </w:pPr>
            <w:r>
              <w:t xml:space="preserve">[1.07, 1.36]</w:t>
            </w:r>
          </w:p>
        </w:tc>
        <w:tc>
          <w:tcPr/>
          <w:p>
            <w:pPr>
              <w:pStyle w:val="Compact"/>
            </w:pPr>
            <w:r>
              <w:t xml:space="preserve">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Tyrving (z)</w:t>
            </w:r>
          </w:p>
        </w:tc>
        <w:tc>
          <w:tcPr/>
          <w:p>
            <w:pPr>
              <w:pStyle w:val="Compact"/>
            </w:pPr>
            <w:r>
              <w:t xml:space="preserve">1.04</w:t>
            </w:r>
          </w:p>
        </w:tc>
        <w:tc>
          <w:tcPr/>
          <w:p>
            <w:pPr>
              <w:pStyle w:val="Compact"/>
            </w:pPr>
            <w:r>
              <w:t xml:space="preserve">[0.98, 1.10]</w:t>
            </w:r>
          </w:p>
        </w:tc>
        <w:tc>
          <w:tcPr/>
          <w:p>
            <w:pPr>
              <w:pStyle w:val="Compact"/>
            </w:pPr>
            <w:r>
              <w:t xml:space="preserve">.211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HHI early (z)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[0.90, 1.02]</w:t>
            </w:r>
          </w:p>
        </w:tc>
        <w:tc>
          <w:tcPr/>
          <w:p>
            <w:pPr>
              <w:pStyle w:val="Compact"/>
            </w:pPr>
            <w:r>
              <w:t xml:space="preserve">.200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Volume at age 15–16 (z)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[0.46, 0.56]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Championship types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[0.73, 0.87]</w:t>
            </w:r>
          </w:p>
        </w:tc>
        <w:tc>
          <w:tcPr/>
          <w:p>
            <w:pPr>
              <w:pStyle w:val="Compact"/>
            </w:pPr>
            <w:r>
              <w:t xml:space="preserve">&lt; .001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Excludes 589 athletes with vol_milepael = 0; remaining n = 1,250; C-index = 0.786.</w:t>
      </w:r>
    </w:p>
    <w:bookmarkEnd w:id="27"/>
    <w:bookmarkStart w:id="28" w:name="X1474e7478f5250bc01001f6d135024a6236a269"/>
    <w:p>
      <w:pPr>
        <w:pStyle w:val="Heading2"/>
      </w:pPr>
      <w:r>
        <w:t xml:space="preserve">Table S12. Random forest variable importance (top 15) for senior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Importance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Volume at age 16</w:t>
            </w:r>
          </w:p>
        </w:tc>
        <w:tc>
          <w:tcPr/>
          <w:p>
            <w:pPr>
              <w:pStyle w:val="Compact"/>
            </w:pPr>
            <w:r>
              <w:t xml:space="preserve">0.133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Composite volume at milestone (ages 15–16)</w:t>
            </w:r>
          </w:p>
        </w:tc>
        <w:tc>
          <w:tcPr/>
          <w:p>
            <w:pPr>
              <w:pStyle w:val="Compact"/>
            </w:pPr>
            <w:r>
              <w:t xml:space="preserve">0.126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Volume at age 15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Tyrving performance slope (ages 13–16)</w:t>
            </w:r>
          </w:p>
        </w:tc>
        <w:tc>
          <w:tcPr/>
          <w:p>
            <w:pPr>
              <w:pStyle w:val="Compact"/>
            </w:pPr>
            <w:r>
              <w:t xml:space="preserve">0.075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Volume trend across milestone</w:t>
            </w:r>
          </w:p>
        </w:tc>
        <w:tc>
          <w:tcPr/>
          <w:p>
            <w:pPr>
              <w:pStyle w:val="Compac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Peak Tyrving before age 15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HHI change (age 13–14 to 15–16)</w:t>
            </w:r>
          </w:p>
        </w:tc>
        <w:tc>
          <w:tcPr/>
          <w:p>
            <w:pPr>
              <w:pStyle w:val="Compact"/>
            </w:pPr>
            <w:r>
              <w:t xml:space="preserve">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Mean meets per year early career</w:t>
            </w:r>
          </w:p>
        </w:tc>
        <w:tc>
          <w:tcPr/>
          <w:p>
            <w:pPr>
              <w:pStyle w:val="Compact"/>
            </w:pPr>
            <w:r>
              <w:t xml:space="preserve">0.042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Tyrving best at baseline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HHI early</w:t>
            </w:r>
          </w:p>
        </w:tc>
        <w:tc>
          <w:tcPr/>
          <w:p>
            <w:pPr>
              <w:pStyle w:val="Compact"/>
            </w:pPr>
            <w: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Volume pre-milestone (ages 13–14)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Year-round participation sum (ages 13–16)</w:t>
            </w:r>
          </w:p>
        </w:tc>
        <w:tc>
          <w:tcPr/>
          <w:p>
            <w:pPr>
              <w:pStyle w:val="Compact"/>
            </w:pPr>
            <w:r>
              <w:t xml:space="preserve">0.039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Volume at age 14</w:t>
            </w:r>
          </w:p>
        </w:tc>
        <w:tc>
          <w:tcPr/>
          <w:p>
            <w:pPr>
              <w:pStyle w:val="Compact"/>
            </w:pPr>
            <w: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Number of championship types</w:t>
            </w:r>
          </w:p>
        </w:tc>
        <w:tc>
          <w:tcPr/>
          <w:p>
            <w:pPr>
              <w:pStyle w:val="Compac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HHI at age 15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Note.</w:t>
      </w:r>
      <w:r>
        <w:t xml:space="preserve"> </w:t>
      </w:r>
      <w:r>
        <w:t xml:space="preserve">Importances sum to 1.0 across all 22 features.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2026-05-17T23:11:45Z</dcterms:created>
  <dcterms:modified xsi:type="dcterms:W3CDTF">2026-05-17T23:11:45Z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