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8cde947c4ddc1e5df834e78ab22bae1a1fbba6"/>
    <w:p>
      <w:pPr>
        <w:pStyle w:val="Heading2"/>
      </w:pPr>
      <w:r>
        <w:t xml:space="preserve">Table 3. Primary analysis: prospective logistic regression for active senior status (baseline-only predictors, ages 13–14)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CV-AUC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L1: Sex only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[0.56, 0.93]</w:t>
            </w:r>
          </w:p>
        </w:tc>
        <w:tc>
          <w:tcPr/>
          <w:p>
            <w:pPr>
              <w:pStyle w:val="Compact"/>
            </w:pPr>
            <w:r>
              <w:t xml:space="preserve">.012</w:t>
            </w:r>
          </w:p>
        </w:tc>
        <w:tc>
          <w:tcPr/>
          <w:p>
            <w:pPr>
              <w:pStyle w:val="Compact"/>
            </w:pPr>
            <w:r>
              <w:t xml:space="preserve">0.541 (±0.023)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L2: + Performance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[0.52, 0.88]</w:t>
            </w:r>
          </w:p>
        </w:tc>
        <w:tc>
          <w:tcPr/>
          <w:p>
            <w:pPr>
              <w:pStyle w:val="Compact"/>
            </w:pPr>
            <w:r>
              <w:t xml:space="preserve">.003</w:t>
            </w:r>
          </w:p>
        </w:tc>
        <w:tc>
          <w:tcPr/>
          <w:p>
            <w:pPr>
              <w:pStyle w:val="Compact"/>
            </w:pPr>
            <w:r>
              <w:t xml:space="preserve">0.607 (±0.014)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  <w:tc>
          <w:tcPr/>
          <w:p>
            <w:pPr>
              <w:pStyle w:val="Compact"/>
            </w:pPr>
            <w:r>
              <w:t xml:space="preserve">[1.22, 1.64]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L3: + Specialization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[0.53, 0.88]</w:t>
            </w:r>
          </w:p>
        </w:tc>
        <w:tc>
          <w:tcPr/>
          <w:p>
            <w:pPr>
              <w:pStyle w:val="Compact"/>
            </w:pPr>
            <w:r>
              <w:t xml:space="preserve">.004</w:t>
            </w:r>
          </w:p>
        </w:tc>
        <w:tc>
          <w:tcPr/>
          <w:p>
            <w:pPr>
              <w:pStyle w:val="Compact"/>
            </w:pPr>
            <w:r>
              <w:t xml:space="preserve">0.600 (±0.019)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  <w:tc>
          <w:tcPr/>
          <w:p>
            <w:pPr>
              <w:pStyle w:val="Compact"/>
            </w:pPr>
            <w:r>
              <w:t xml:space="preserve">[1.22, 1.64]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[0.95, 1.24]</w:t>
            </w:r>
          </w:p>
        </w:tc>
        <w:tc>
          <w:tcPr/>
          <w:p>
            <w:pPr>
              <w:pStyle w:val="Compact"/>
            </w:pPr>
            <w:r>
              <w:t xml:space="preserve">.238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L4: + Pre-milestone volume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[0.46, 0.80]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0.751</w:t>
            </w:r>
            <w:r>
              <w:t xml:space="preserve"> </w:t>
            </w:r>
            <w:r>
              <w:t xml:space="preserve">(±0.026)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[0.96, 1.30]</w:t>
            </w:r>
          </w:p>
        </w:tc>
        <w:tc>
          <w:tcPr/>
          <w:p>
            <w:pPr>
              <w:pStyle w:val="Compact"/>
            </w:pPr>
            <w:r>
              <w:t xml:space="preserve">.144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  <w:tc>
          <w:tcPr/>
          <w:p>
            <w:pPr>
              <w:pStyle w:val="Compact"/>
            </w:pPr>
            <w:r>
              <w:t xml:space="preserve">[1.17, 1.57]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[2.08, 2.76]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Logistic regression for binary active senior status (≥2 registered results in any year at age 20+). Predictors are observed during the baseline window (ages 13–14) only. Pre-milestone volume is the sum of distinct meets attended at ages 13 and 14. Continuous covariates are z-standardized so ORs reflect per-SD effects. Cross-validated AUC uses 5-fold stratified resampling. The pre-milestone volume coefficient is the dominant single-step gain (AUC 0.600 → 0.751). HHI becomes significant once volume is entered (mutual adjustment); the direction indicates that higher concentration in fewer event categories is associated with higher retention odds (see also Discussion 4.6).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2026-09-03T07:55:00Z</dcterms:created>
  <dcterms:modified xsi:type="dcterms:W3CDTF">2026-09-03T07:55:00Z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