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ead665dc21eb92f77ea82cce847e701a62b1bef"/>
    <w:p>
      <w:pPr>
        <w:pStyle w:val="Heading2"/>
      </w:pPr>
      <w:r>
        <w:t xml:space="preserve">Table 4. Pull-back versus baseline heterogeneity: volume level and within-athlete change</w:t>
      </w:r>
    </w:p>
    <w:p>
      <w:pPr>
        <w:pStyle w:val="FirstParagraph"/>
      </w:pPr>
      <w:r>
        <w:t xml:space="preserve">Athletes still active (≥1 result) at age 14: 1,914; fitted models are complete-case on Tyrving, n = 1,549 (Tyrving missingness is concentrated among early-inactive athletes; see Supplementary Table S12).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M1: Volume at age 14 only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[0.46, 0.81]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[0.96, 1.30]</w:t>
            </w:r>
          </w:p>
        </w:tc>
        <w:tc>
          <w:tcPr/>
          <w:p>
            <w:pPr>
              <w:pStyle w:val="Compact"/>
            </w:pPr>
            <w:r>
              <w:t xml:space="preserve">.167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at age 14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[1.94, 2.57]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M2: + Volume change 14→15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[0.44, 0.81]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[0.86, 1.19]</w:t>
            </w:r>
          </w:p>
        </w:tc>
        <w:tc>
          <w:tcPr/>
          <w:p>
            <w:pPr>
              <w:pStyle w:val="Compact"/>
            </w:pPr>
            <w:r>
              <w:t xml:space="preserve">.882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at age 14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[2.37, 3.28]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Volume change 14→15 (z)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[2.10, 2.83]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.001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Pseudo-</w:t>
      </w:r>
      <w:r>
        <w:rPr>
          <w:i/>
          <w:iCs/>
        </w:rPr>
        <w:t xml:space="preserve">R</w:t>
      </w:r>
      <w:r>
        <w:t xml:space="preserve">² rose from 0.113 (M1) to 0.227 (M2): within-athlete change adds substantial information conditional on baseline level. A one-SD greater decline from age 14 to age 15 was associated with 2.4-times lower retention odds, conditional on level at age 14. Both baseline level and within-athlete pull-back contribute substantially and independently.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2026-09-03T07:55:00Z</dcterms:created>
  <dcterms:modified xsi:type="dcterms:W3CDTF">2026-09-03T07:55:00Z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