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b1aa18e3395192ff7ac564cba097915b7cb4ac8"/>
    <w:p>
      <w:pPr>
        <w:pStyle w:val="Heading2"/>
      </w:pPr>
      <w:r>
        <w:t xml:space="preserve">Table 6. Prospective early-warning thresholds (pre-milestone volume, ages 13–14)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Threshold (flag if vol &lt;)</w:t>
            </w:r>
          </w:p>
        </w:tc>
        <w:tc>
          <w:tcPr/>
          <w:p>
            <w:pPr>
              <w:pStyle w:val="Compact"/>
            </w:pPr>
            <w:r>
              <w:t xml:space="preserve">Flagged %</w:t>
            </w:r>
          </w:p>
        </w:tc>
        <w:tc>
          <w:tcPr/>
          <w:p>
            <w:pPr>
              <w:pStyle w:val="Compact"/>
            </w:pPr>
            <w:r>
              <w:t xml:space="preserve">Sensitivity</w:t>
            </w:r>
          </w:p>
        </w:tc>
        <w:tc>
          <w:tcPr/>
          <w:p>
            <w:pPr>
              <w:pStyle w:val="Compact"/>
            </w:pPr>
            <w:r>
              <w:t xml:space="preserve">Specificity</w:t>
            </w:r>
          </w:p>
        </w:tc>
        <w:tc>
          <w:tcPr/>
          <w:p>
            <w:pPr>
              <w:pStyle w:val="Compact"/>
            </w:pPr>
            <w:r>
              <w:t xml:space="preserve">PPV</w:t>
            </w:r>
          </w:p>
        </w:tc>
        <w:tc>
          <w:tcPr/>
          <w:p>
            <w:pPr>
              <w:pStyle w:val="Compact"/>
            </w:pPr>
            <w:r>
              <w:t xml:space="preserve">NPV</w:t>
            </w:r>
          </w:p>
        </w:tc>
        <w:tc>
          <w:tcPr/>
          <w:p>
            <w:pPr>
              <w:pStyle w:val="Compact"/>
            </w:pPr>
            <w:r>
              <w:t xml:space="preserve">Senior retention, flagged</w:t>
            </w:r>
          </w:p>
        </w:tc>
        <w:tc>
          <w:tcPr/>
          <w:p>
            <w:pPr>
              <w:pStyle w:val="Compact"/>
            </w:pPr>
            <w:r>
              <w:t xml:space="preserve">Senior retention, unflagged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meets</w:t>
            </w:r>
          </w:p>
        </w:tc>
        <w:tc>
          <w:tcPr/>
          <w:p>
            <w:pPr>
              <w:pStyle w:val="Compact"/>
            </w:pPr>
            <w:r>
              <w:t xml:space="preserve">9.3</w:t>
            </w:r>
          </w:p>
        </w:tc>
        <w:tc>
          <w:tcPr/>
          <w:p>
            <w:pPr>
              <w:pStyle w:val="Compact"/>
            </w:pPr>
            <w:r>
              <w:t xml:space="preserve">0.10 [0.09, 0.12]</w:t>
            </w:r>
          </w:p>
        </w:tc>
        <w:tc>
          <w:tcPr/>
          <w:p>
            <w:pPr>
              <w:pStyle w:val="Compact"/>
            </w:pPr>
            <w:r>
              <w:t xml:space="preserve">0.96 [0.94, 0.98]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0.93</w:t>
            </w:r>
            <w:r>
              <w:t xml:space="preserve"> </w:t>
            </w:r>
            <w:r>
              <w:t xml:space="preserve">[0.89, 0.96]</w:t>
            </w:r>
          </w:p>
        </w:tc>
        <w:tc>
          <w:tcPr/>
          <w:p>
            <w:pPr>
              <w:pStyle w:val="Compact"/>
            </w:pPr>
            <w:r>
              <w:t xml:space="preserve">0.17 [0.16, 0.19]</w:t>
            </w:r>
          </w:p>
        </w:tc>
        <w:tc>
          <w:tcPr/>
          <w:p>
            <w:pPr>
              <w:pStyle w:val="Compact"/>
            </w:pPr>
            <w:r>
              <w:t xml:space="preserve">7.1% [3.6, 11.3]</w:t>
            </w:r>
          </w:p>
        </w:tc>
        <w:tc>
          <w:tcPr/>
          <w:p>
            <w:pPr>
              <w:pStyle w:val="Compact"/>
            </w:pPr>
            <w:r>
              <w:t xml:space="preserve">17.3% [15.7, 19.1]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meets</w:t>
            </w:r>
          </w:p>
        </w:tc>
        <w:tc>
          <w:tcPr/>
          <w:p>
            <w:pPr>
              <w:pStyle w:val="Compact"/>
            </w:pPr>
            <w:r>
              <w:t xml:space="preserve">19.8</w:t>
            </w:r>
          </w:p>
        </w:tc>
        <w:tc>
          <w:tcPr/>
          <w:p>
            <w:pPr>
              <w:pStyle w:val="Compact"/>
            </w:pPr>
            <w:r>
              <w:t xml:space="preserve">0.22 [0.20, 0.24]</w:t>
            </w:r>
          </w:p>
        </w:tc>
        <w:tc>
          <w:tcPr/>
          <w:p>
            <w:pPr>
              <w:pStyle w:val="Compact"/>
            </w:pPr>
            <w:r>
              <w:t xml:space="preserve">0.93 [0.90, 0.96]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0.94</w:t>
            </w:r>
            <w:r>
              <w:t xml:space="preserve"> </w:t>
            </w:r>
            <w:r>
              <w:t xml:space="preserve">[0.92, 0.96]</w:t>
            </w:r>
          </w:p>
        </w:tc>
        <w:tc>
          <w:tcPr/>
          <w:p>
            <w:pPr>
              <w:pStyle w:val="Compact"/>
            </w:pPr>
            <w:r>
              <w:t xml:space="preserve">0.19 [0.17, 0.21]</w:t>
            </w:r>
          </w:p>
        </w:tc>
        <w:tc>
          <w:tcPr/>
          <w:p>
            <w:pPr>
              <w:pStyle w:val="Compact"/>
            </w:pPr>
            <w:r>
              <w:t xml:space="preserve">5.7% [3.6, 7.9]</w:t>
            </w:r>
          </w:p>
        </w:tc>
        <w:tc>
          <w:tcPr/>
          <w:p>
            <w:pPr>
              <w:pStyle w:val="Compact"/>
            </w:pPr>
            <w:r>
              <w:t xml:space="preserve">19.0% [17.2, 21.0]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meets</w:t>
            </w:r>
          </w:p>
        </w:tc>
        <w:tc>
          <w:tcPr/>
          <w:p>
            <w:pPr>
              <w:pStyle w:val="Compact"/>
            </w:pPr>
            <w:r>
              <w:t xml:space="preserve">26.4</w:t>
            </w:r>
          </w:p>
        </w:tc>
        <w:tc>
          <w:tcPr/>
          <w:p>
            <w:pPr>
              <w:pStyle w:val="Compact"/>
            </w:pPr>
            <w:r>
              <w:t xml:space="preserve">0.30 [0.28, 0.32]</w:t>
            </w:r>
          </w:p>
        </w:tc>
        <w:tc>
          <w:tcPr/>
          <w:p>
            <w:pPr>
              <w:pStyle w:val="Compact"/>
            </w:pPr>
            <w:r>
              <w:t xml:space="preserve">0.91 [0.88, 0.94]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0.94</w:t>
            </w:r>
            <w:r>
              <w:t xml:space="preserve"> </w:t>
            </w:r>
            <w:r>
              <w:t xml:space="preserve">[0.92, 0.96]</w:t>
            </w:r>
          </w:p>
        </w:tc>
        <w:tc>
          <w:tcPr/>
          <w:p>
            <w:pPr>
              <w:pStyle w:val="Compact"/>
            </w:pPr>
            <w:r>
              <w:t xml:space="preserve">0.20 [0.18, 0.22]</w:t>
            </w:r>
          </w:p>
        </w:tc>
        <w:tc>
          <w:tcPr/>
          <w:p>
            <w:pPr>
              <w:pStyle w:val="Compact"/>
            </w:pPr>
            <w:r>
              <w:t xml:space="preserve">5.7% [3.9, 7.7]</w:t>
            </w:r>
          </w:p>
        </w:tc>
        <w:tc>
          <w:tcPr/>
          <w:p>
            <w:pPr>
              <w:pStyle w:val="Compact"/>
            </w:pPr>
            <w:r>
              <w:t xml:space="preserve">20.2% [18.3, 22.2]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 meets</w:t>
            </w:r>
          </w:p>
        </w:tc>
        <w:tc>
          <w:tcPr/>
          <w:p>
            <w:pPr>
              <w:pStyle w:val="Compact"/>
            </w:pPr>
            <w:r>
              <w:t xml:space="preserve">43.1</w:t>
            </w:r>
          </w:p>
        </w:tc>
        <w:tc>
          <w:tcPr/>
          <w:p>
            <w:pPr>
              <w:pStyle w:val="Compact"/>
            </w:pPr>
            <w:r>
              <w:t xml:space="preserve">0.48 [0.46, 0.50]</w:t>
            </w:r>
          </w:p>
        </w:tc>
        <w:tc>
          <w:tcPr/>
          <w:p>
            <w:pPr>
              <w:pStyle w:val="Compact"/>
            </w:pPr>
            <w:r>
              <w:t xml:space="preserve">0.82 [0.77, 0.85]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0.93</w:t>
            </w:r>
            <w:r>
              <w:t xml:space="preserve"> </w:t>
            </w:r>
            <w:r>
              <w:t xml:space="preserve">[0.91, 0.95]</w:t>
            </w:r>
          </w:p>
        </w:tc>
        <w:tc>
          <w:tcPr/>
          <w:p>
            <w:pPr>
              <w:pStyle w:val="Compact"/>
            </w:pPr>
            <w:r>
              <w:t xml:space="preserve">0.24 [0.21, 0.26]</w:t>
            </w:r>
          </w:p>
        </w:tc>
        <w:tc>
          <w:tcPr/>
          <w:p>
            <w:pPr>
              <w:pStyle w:val="Compact"/>
            </w:pPr>
            <w:r>
              <w:t xml:space="preserve">7.0% [5.4, 8.7]</w:t>
            </w:r>
          </w:p>
        </w:tc>
        <w:tc>
          <w:tcPr/>
          <w:p>
            <w:pPr>
              <w:pStyle w:val="Compact"/>
            </w:pPr>
            <w:r>
              <w:t xml:space="preserve">23.5% [21.1, 25.9]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t xml:space="preserve">Classification performance of pre-milestone (ages 13–14) competition volume as a prospective early-warning indicator, applicable at the end of an athlete’s age-14 season, before the qualification window opens. All metrics are computed on one denominator (full cohort, n = 2,123); brackets are 2,000-replicate bootstrap 95% CIs. PPV is the proportion of flagged athletes who subsequently failed to retain senior activity. The final two columns give the absolute retention contrast: at the &lt; 10 threshold, 5.7% among flagged vs. 20.2% among unflagged athletes (a 3.5-fold difference). The high PPV partly reflects the population’s 84% non-retention base rate (the threshold improves precision by ~10 percentage points over base-rate prediction), and the NPV of ≈ 0.20 means unflagged athletes are not</w:t>
      </w:r>
      <w:r>
        <w:t xml:space="preserve"> </w:t>
      </w:r>
      <w:r>
        <w:t xml:space="preserve">“safe”</w:t>
      </w:r>
      <w:r>
        <w:t xml:space="preserve">: roughly four in five of them also fail to retain. Calibration of the underlying model is reported in Supplementary Table S23.</w:t>
      </w:r>
    </w:p>
    <w:p>
      <w:r>
        <w:pict>
          <v:rect style="width:0;height:1.5pt" o:hralign="center" o:hrstd="t" o:hr="t"/>
        </w:pic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2026-09-03T07:55:01Z</dcterms:created>
  <dcterms:modified xsi:type="dcterms:W3CDTF">2026-09-03T07:55:01Z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