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9b21a988fbcae595b6ca55e69894fe6653a1ba"/>
    <w:p>
      <w:pPr>
        <w:pStyle w:val="Heading2"/>
      </w:pPr>
      <w:r>
        <w:t xml:space="preserve">Table 7. Cross-cohort replication of the primary L4 logistic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1998–2000</w:t>
            </w:r>
          </w:p>
        </w:tc>
        <w:tc>
          <w:tcPr/>
          <w:p>
            <w:pPr>
              <w:pStyle w:val="Compact"/>
            </w:pPr>
            <w:r>
              <w:t xml:space="preserve">1,065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[0.34, 0.74]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[0.94, 1.39]</w:t>
            </w:r>
          </w:p>
        </w:tc>
        <w:tc>
          <w:tcPr/>
          <w:p>
            <w:pPr>
              <w:pStyle w:val="Compact"/>
            </w:pPr>
            <w:r>
              <w:t xml:space="preserve">.179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[1.03, 1.51]</w:t>
            </w:r>
          </w:p>
        </w:tc>
        <w:tc>
          <w:tcPr/>
          <w:p>
            <w:pPr>
              <w:pStyle w:val="Compact"/>
            </w:pPr>
            <w:r>
              <w:t xml:space="preserve">.027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[1.86, 2.64]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2001–2002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[0.55, 1.22]</w:t>
            </w:r>
          </w:p>
        </w:tc>
        <w:tc>
          <w:tcPr/>
          <w:p>
            <w:pPr>
              <w:pStyle w:val="Compact"/>
            </w:pPr>
            <w:r>
              <w:t xml:space="preserve">.333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[0.84, 1.32]</w:t>
            </w:r>
          </w:p>
        </w:tc>
        <w:tc>
          <w:tcPr/>
          <w:p>
            <w:pPr>
              <w:pStyle w:val="Compact"/>
            </w:pPr>
            <w:r>
              <w:t xml:space="preserve">.658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[1.25, 1.99]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Pre-milestone volume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[2.17, 3.58]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primary baseline-only logistic model re-estimated separately within each birth-year cohort. Pre-milestone volume effect replicates in both cohorts at similar magnitude. The cohort difference in the female coefficient parallels the broader sex-effect pattern discussed in §4.5; HHI is significant in both cohorts in the same direction (higher concentration = higher retention).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2026-09-03T07:55:01Z</dcterms:created>
  <dcterms:modified xsi:type="dcterms:W3CDTF">2026-09-03T07:55:01Z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