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 among athletes still competing at 14, volume at 14 gave a similar estimate (OR = 2.05 per SD; Table 4, M1).</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model was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2.07, 2.04 [1.75, 2.39] and 2.03; Supplementary Table S22), and folds grouped by club gave the same cross-validated AUC (0.766; Supplementary Table S26): the association holds after accounting for club membership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0.71 per SD, 95% CI [0.65, 0.78], C-index = 0.696; complete-case n = 1,147; Supplementary Table S8). 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more clearly in Cohort B (1.32 [1.10, 1.60]) than in Cohort A (1.07 [0.90, 1.28]; cohort difference</w:t>
      </w:r>
      <w:r>
        <w:t xml:space="preserve"> </w:t>
      </w:r>
      <w:r>
        <w:rPr>
          <w:i/>
          <w:iCs/>
        </w:rPr>
        <w:t xml:space="preserve">p</w:t>
      </w:r>
      <w:r>
        <w:t xml:space="preserve"> </w:t>
      </w:r>
      <w:r>
        <w:t xml:space="preserve">= .11),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Dropouts typically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did not differ from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level and change carried independent information, also in the contamination-free window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volume association itself was similar across sexes (milestone-window volume HR = 0.49 for males and 0.48 for females; Supplementary Table S7), so the residual sex difference lies in the level of retention, not in how volume relates to it.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has competed (cohort entry guarantees a baseline meet), though 29% had no result at 14,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264.3);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 (&lt; 10 meets at ages 13–14),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[0.12, 0.17]</w:t>
            </w:r>
          </w:p>
        </w:tc>
        <w:tc>
          <w:tcPr/>
          <w:p>
            <w:pPr>
              <w:pStyle w:val="Compact"/>
            </w:pPr>
            <w:r>
              <w:t xml:space="preserve">0.74 [0.66, 0.84]</w:t>
            </w:r>
          </w:p>
        </w:tc>
        <w:tc>
          <w:tcPr/>
          <w:p>
            <w:pPr>
              <w:pStyle w:val="Compact"/>
            </w:pPr>
            <w:r>
              <w:t xml:space="preserve">1.01 [0.84, 1.21]</w:t>
            </w:r>
          </w:p>
        </w:tc>
      </w:tr>
      <w:tr>
        <w:tc>
          <w:tcPr/>
          <w:p>
            <w:pPr>
              <w:pStyle w:val="Compact"/>
            </w:pPr>
            <w:r>
              <w:t xml:space="preserve">Championship types (count)</w:t>
            </w:r>
          </w:p>
        </w:tc>
        <w:tc>
          <w:tcPr/>
          <w:p>
            <w:pPr>
              <w:pStyle w:val="Compact"/>
            </w:pPr>
            <w:r>
              <w:t xml:space="preserve">0.78 [0.71, 0.86]</w:t>
            </w:r>
          </w:p>
        </w:tc>
        <w:tc>
          <w:tcPr/>
          <w:p>
            <w:pPr>
              <w:pStyle w:val="Compact"/>
            </w:pPr>
            <w:r>
              <w:t xml:space="preserve">0.84 [0.74, 0.96]</w:t>
            </w:r>
          </w:p>
        </w:tc>
        <w:tc>
          <w:tcPr/>
          <w:p>
            <w:pPr>
              <w:pStyle w:val="Compact"/>
            </w:pPr>
            <w:r>
              <w:t xml:space="preserve">0.68 [0.54, 0.85]</w:t>
            </w:r>
          </w:p>
        </w:tc>
      </w:tr>
      <w:tr>
        <w:tc>
          <w:tcPr/>
          <w:p>
            <w:pPr>
              <w:pStyle w:val="Compact"/>
            </w:pPr>
            <w:r>
              <w:t xml:space="preserve">Tyrving (z)</w:t>
            </w:r>
          </w:p>
        </w:tc>
        <w:tc>
          <w:tcPr/>
          <w:p>
            <w:pPr>
              <w:pStyle w:val="Compact"/>
            </w:pPr>
            <w:r>
              <w:t xml:space="preserve">0.93 [0.88, 0.98]</w:t>
            </w:r>
          </w:p>
        </w:tc>
        <w:tc>
          <w:tcPr/>
          <w:p>
            <w:pPr>
              <w:pStyle w:val="Compact"/>
            </w:pPr>
            <w:r>
              <w:t xml:space="preserve">0.87 [0.78, 0.96]</w:t>
            </w:r>
          </w:p>
        </w:tc>
        <w:tc>
          <w:tcPr/>
          <w:p>
            <w:pPr>
              <w:pStyle w:val="Compact"/>
            </w:pPr>
            <w:r>
              <w:t xml:space="preserve">1.09 [0.89, 1.34]</w:t>
            </w:r>
          </w:p>
        </w:tc>
      </w:tr>
      <w:tr>
        <w:tc>
          <w:tcPr/>
          <w:p>
            <w:pPr>
              <w:pStyle w:val="Compact"/>
            </w:pPr>
            <w:r>
              <w:t xml:space="preserve">HHI, ages 13–14 (z)</w:t>
            </w:r>
          </w:p>
        </w:tc>
        <w:tc>
          <w:tcPr/>
          <w:p>
            <w:pPr>
              <w:pStyle w:val="Compact"/>
            </w:pPr>
            <w:r>
              <w:t xml:space="preserve">1.03 [0.97, 1.08]</w:t>
            </w:r>
          </w:p>
        </w:tc>
        <w:tc>
          <w:tcPr/>
          <w:p>
            <w:pPr>
              <w:pStyle w:val="Compact"/>
            </w:pPr>
            <w:r>
              <w:t xml:space="preserve">0.90 [0.82, 1.00]</w:t>
            </w:r>
          </w:p>
        </w:tc>
        <w:tc>
          <w:tcPr/>
          <w:p>
            <w:pPr>
              <w:pStyle w:val="Compact"/>
            </w:pPr>
            <w:r>
              <w:t xml:space="preserve">0.99 [0.85, 1.14]</w:t>
            </w:r>
          </w:p>
        </w:tc>
      </w:tr>
      <w:tr>
        <w:tc>
          <w:tcPr/>
          <w:p>
            <w:pPr>
              <w:pStyle w:val="Compact"/>
            </w:pPr>
            <w:r>
              <w:t xml:space="preserve">Female</w:t>
            </w:r>
          </w:p>
        </w:tc>
        <w:tc>
          <w:tcPr/>
          <w:p>
            <w:pPr>
              <w:pStyle w:val="Compact"/>
            </w:pPr>
            <w:r>
              <w:t xml:space="preserve">1.06 [0.95, 1.19]</w:t>
            </w:r>
          </w:p>
        </w:tc>
        <w:tc>
          <w:tcPr/>
          <w:p>
            <w:pPr>
              <w:pStyle w:val="Compact"/>
            </w:pPr>
            <w:r>
              <w:t xml:space="preserve">1.49 [1.24, 1.80]</w:t>
            </w:r>
          </w:p>
        </w:tc>
        <w:tc>
          <w:tcPr/>
          <w:p>
            <w:pPr>
              <w:pStyle w:val="Compact"/>
            </w:pPr>
            <w:r>
              <w:t xml:space="preserve">1.05 [0.77, 1.43]</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0.664</w:t>
            </w:r>
          </w:p>
        </w:tc>
        <w:tc>
          <w:tcPr/>
          <w:p>
            <w:pPr>
              <w:pStyle w:val="Compact"/>
            </w:pPr>
            <w:r>
              <w:t xml:space="preserve">0.596</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were still active at the end of its curve (11 years) and 0.8% reached active senior status.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2026-10-03T12:27:29Z</dcterms:created>
  <dcterms:modified xsi:type="dcterms:W3CDTF">2026-10-03T12:27:29Z</dcterms:modified>
</cp:coreProperties>
</file>

<file path=docProps/custom.xml><?xml version="1.0" encoding="utf-8"?>
<Properties xmlns="http://schemas.openxmlformats.org/officeDocument/2006/custom-properties" xmlns:vt="http://schemas.openxmlformats.org/officeDocument/2006/docPropsVTypes"/>
</file>