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now by maximum likelihood with the club intercepts integrated out by Gauss–Hermite quadrature (40 nodes; the submission used a variational Bayes approximation, which understates uncertainty), with a likelihood-ratio test of no club variation (p-value halved for the boundary), Supplementary Table S22.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t xml:space="preserve">Championship types (post-baseline models only): a type is counted when the athlete has a result before age 17 at a meet whose name identifies it as a district, youth-national, junior-national or senior-national championship. The submitted coding matched</w:t>
      </w:r>
      <w:r>
        <w:t xml:space="preserve"> </w:t>
      </w:r>
      <w:r>
        <w:t xml:space="preserve">“UM”</w:t>
      </w:r>
      <w:r>
        <w:t xml:space="preserve"> </w:t>
      </w:r>
      <w:r>
        <w:t xml:space="preserve">(youth championships) as letters anywhere in a meet name (e.g. Bærum, Jubileumsstevne), counted</w:t>
      </w:r>
      <w:r>
        <w:t xml:space="preserve"> </w:t>
      </w:r>
      <w:r>
        <w:t xml:space="preserve">“Junior-NM”</w:t>
      </w:r>
      <w:r>
        <w:t xml:space="preserve"> </w:t>
      </w:r>
      <w:r>
        <w:t xml:space="preserve">as a senior championship, and counted qualification, preparation, unofficial and veterans’ meets and side events at national championships before age 15 (the age from which they are open); corrected, the count changed for 318 athletes.</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3.07</w:t>
            </w:r>
          </w:p>
        </w:tc>
        <w:tc>
          <w:tcPr/>
          <w:p>
            <w:pPr>
              <w:pStyle w:val="Compact"/>
            </w:pPr>
            <w:r>
              <w:t xml:space="preserve">.080</w:t>
            </w:r>
          </w:p>
        </w:tc>
      </w:tr>
      <w:tr>
        <w:tc>
          <w:tcPr/>
          <w:p>
            <w:pPr>
              <w:pStyle w:val="Compact"/>
            </w:pPr>
            <w:r>
              <w:t xml:space="preserve">Tyrving (z)</w:t>
            </w:r>
          </w:p>
        </w:tc>
        <w:tc>
          <w:tcPr/>
          <w:p>
            <w:pPr>
              <w:pStyle w:val="Compact"/>
            </w:pPr>
            <w:r>
              <w:t xml:space="preserve">0.02</w:t>
            </w:r>
          </w:p>
        </w:tc>
        <w:tc>
          <w:tcPr/>
          <w:p>
            <w:pPr>
              <w:pStyle w:val="Compact"/>
            </w:pPr>
            <w:r>
              <w:t xml:space="preserve">.877</w:t>
            </w:r>
          </w:p>
        </w:tc>
      </w:tr>
      <w:tr>
        <w:tc>
          <w:tcPr/>
          <w:p>
            <w:pPr>
              <w:pStyle w:val="Compact"/>
            </w:pPr>
            <w:r>
              <w:t xml:space="preserve">HHI, ages 13–14 (z)</w:t>
            </w:r>
          </w:p>
        </w:tc>
        <w:tc>
          <w:tcPr/>
          <w:p>
            <w:pPr>
              <w:pStyle w:val="Compact"/>
            </w:pPr>
            <w:r>
              <w:t xml:space="preserve">12.98</w:t>
            </w:r>
          </w:p>
        </w:tc>
        <w:tc>
          <w:tcPr/>
          <w:p>
            <w:pPr>
              <w:pStyle w:val="Compact"/>
            </w:pPr>
            <w:r>
              <w:t xml:space="preserve">&lt; .001</w:t>
            </w:r>
          </w:p>
        </w:tc>
      </w:tr>
      <w:tr>
        <w:tc>
          <w:tcPr/>
          <w:p>
            <w:pPr>
              <w:pStyle w:val="Compact"/>
            </w:pPr>
            <w:r>
              <w:t xml:space="preserve">Volume at age 15–16 (z)</w:t>
            </w:r>
          </w:p>
        </w:tc>
        <w:tc>
          <w:tcPr/>
          <w:p>
            <w:pPr>
              <w:pStyle w:val="Compact"/>
            </w:pPr>
            <w:r>
              <w:t xml:space="preserve">264.28</w:t>
            </w:r>
          </w:p>
        </w:tc>
        <w:tc>
          <w:tcPr/>
          <w:p>
            <w:pPr>
              <w:pStyle w:val="Compact"/>
            </w:pPr>
            <w:r>
              <w:t xml:space="preserve">&lt; .001</w:t>
            </w:r>
          </w:p>
        </w:tc>
      </w:tr>
      <w:tr>
        <w:tc>
          <w:tcPr/>
          <w:p>
            <w:pPr>
              <w:pStyle w:val="Compact"/>
            </w:pPr>
            <w:r>
              <w:t xml:space="preserve">Championship types</w:t>
            </w:r>
          </w:p>
        </w:tc>
        <w:tc>
          <w:tcPr/>
          <w:p>
            <w:pPr>
              <w:pStyle w:val="Compact"/>
            </w:pPr>
            <w:r>
              <w:t xml:space="preserve">6.32</w:t>
            </w:r>
          </w:p>
        </w:tc>
        <w:tc>
          <w:tcPr/>
          <w:p>
            <w:pPr>
              <w:pStyle w:val="Compact"/>
            </w:pPr>
            <w:r>
              <w:t xml:space="preserve">.012</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1.16</w:t>
            </w:r>
          </w:p>
        </w:tc>
        <w:tc>
          <w:tcPr/>
          <w:p>
            <w:pPr>
              <w:pStyle w:val="Compact"/>
            </w:pPr>
            <w:r>
              <w:t xml:space="preserve">[1.03, 1.30]</w:t>
            </w:r>
          </w:p>
        </w:tc>
        <w:tc>
          <w:tcPr/>
          <w:p>
            <w:pPr>
              <w:pStyle w:val="Compact"/>
            </w:pPr>
            <w:r>
              <w:t xml:space="preserve">.018</w:t>
            </w:r>
          </w:p>
        </w:tc>
      </w:tr>
      <w:tr>
        <w:tc>
          <w:tcPr/>
          <w:p>
            <w:pPr>
              <w:pStyle w:val="Compact"/>
            </w:pPr>
            <w:r>
              <w:t xml:space="preserve">Tyrving (z)</w:t>
            </w:r>
          </w:p>
        </w:tc>
        <w:tc>
          <w:tcPr/>
          <w:p>
            <w:pPr>
              <w:pStyle w:val="Compact"/>
            </w:pPr>
            <w:r>
              <w:t xml:space="preserve">0.92</w:t>
            </w:r>
          </w:p>
        </w:tc>
        <w:tc>
          <w:tcPr/>
          <w:p>
            <w:pPr>
              <w:pStyle w:val="Compact"/>
            </w:pPr>
            <w:r>
              <w:t xml:space="preserve">[0.87, 0.98]</w:t>
            </w:r>
          </w:p>
        </w:tc>
        <w:tc>
          <w:tcPr/>
          <w:p>
            <w:pPr>
              <w:pStyle w:val="Compact"/>
            </w:pPr>
            <w:r>
              <w:t xml:space="preserve">.010</w:t>
            </w:r>
          </w:p>
        </w:tc>
      </w:tr>
      <w:tr>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.450</w:t>
            </w:r>
          </w:p>
        </w:tc>
      </w:tr>
      <w:tr>
        <w:tc>
          <w:tcPr/>
          <w:p>
            <w:pPr>
              <w:pStyle w:val="Compact"/>
            </w:pPr>
            <w:r>
              <w:t xml:space="preserve">Volume at age 15–16 (z)</w:t>
            </w:r>
          </w:p>
        </w:tc>
        <w:tc>
          <w:tcPr/>
          <w:p>
            <w:pPr>
              <w:pStyle w:val="Compact"/>
            </w:pPr>
            <w:r>
              <w:t xml:space="preserve">0.49</w:t>
            </w:r>
          </w:p>
        </w:tc>
        <w:tc>
          <w:tcPr/>
          <w:p>
            <w:pPr>
              <w:pStyle w:val="Compact"/>
            </w:pPr>
            <w:r>
              <w:t xml:space="preserve">[0.43, 0.54]</w:t>
            </w:r>
          </w:p>
        </w:tc>
        <w:tc>
          <w:tcPr/>
          <w:p>
            <w:pPr>
              <w:pStyle w:val="Compact"/>
            </w:pPr>
            <w:r>
              <w:t xml:space="preserve">&lt; .001</w:t>
            </w:r>
          </w:p>
        </w:tc>
      </w:tr>
      <w:tr>
        <w:tc>
          <w:tcPr/>
          <w:p>
            <w:pPr>
              <w:pStyle w:val="Compact"/>
            </w:pPr>
            <w:r>
              <w:t xml:space="preserve">Championship types</w:t>
            </w:r>
          </w:p>
        </w:tc>
        <w:tc>
          <w:tcPr/>
          <w:p>
            <w:pPr>
              <w:pStyle w:val="Compact"/>
            </w:pPr>
            <w:r>
              <w:t xml:space="preserve">0.70</w:t>
            </w:r>
          </w:p>
        </w:tc>
        <w:tc>
          <w:tcPr/>
          <w:p>
            <w:pPr>
              <w:pStyle w:val="Compact"/>
            </w:pPr>
            <w:r>
              <w:t xml:space="preserve">[0.64, 0.77]</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1.16</w:t>
            </w:r>
          </w:p>
        </w:tc>
        <w:tc>
          <w:tcPr/>
          <w:p>
            <w:pPr>
              <w:pStyle w:val="Compact"/>
            </w:pPr>
            <w:r>
              <w:t xml:space="preserve">1.16</w:t>
            </w:r>
          </w:p>
        </w:tc>
      </w:tr>
      <w:tr>
        <w:tc>
          <w:tcPr/>
          <w:p>
            <w:pPr>
              <w:pStyle w:val="Compact"/>
            </w:pPr>
            <w:r>
              <w:t xml:space="preserve">Tyrving (z)</w:t>
            </w:r>
          </w:p>
        </w:tc>
        <w:tc>
          <w:tcPr/>
          <w:p>
            <w:pPr>
              <w:pStyle w:val="Compact"/>
            </w:pPr>
            <w:r>
              <w:t xml:space="preserve">0.92</w:t>
            </w:r>
          </w:p>
        </w:tc>
        <w:tc>
          <w:tcPr/>
          <w:p>
            <w:pPr>
              <w:pStyle w:val="Compact"/>
            </w:pPr>
            <w:r>
              <w:t xml:space="preserve">0.92</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0.49</w:t>
            </w:r>
          </w:p>
        </w:tc>
        <w:tc>
          <w:tcPr/>
          <w:p>
            <w:pPr>
              <w:pStyle w:val="Compact"/>
            </w:pPr>
            <w:r>
              <w:t xml:space="preserve">0.49</w:t>
            </w:r>
          </w:p>
        </w:tc>
      </w:tr>
      <w:tr>
        <w:tc>
          <w:tcPr/>
          <w:p>
            <w:pPr>
              <w:pStyle w:val="Compact"/>
            </w:pPr>
            <w:r>
              <w:t xml:space="preserve">Championship types</w:t>
            </w:r>
          </w:p>
        </w:tc>
        <w:tc>
          <w:tcPr/>
          <w:p>
            <w:pPr>
              <w:pStyle w:val="Compact"/>
            </w:pPr>
            <w:r>
              <w:t xml:space="preserve">0.70</w:t>
            </w:r>
          </w:p>
        </w:tc>
        <w:tc>
          <w:tcPr/>
          <w:p>
            <w:pPr>
              <w:pStyle w:val="Compact"/>
            </w:pPr>
            <w:r>
              <w:t xml:space="preserve">0.70</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.002</w:t>
            </w:r>
          </w:p>
        </w:tc>
      </w:tr>
      <w:tr>
        <w:tc>
          <w:tcPr/>
          <w:p>
            <w:pPr>
              <w:pStyle w:val="Compact"/>
            </w:pPr>
            <w:r>
              <w:t xml:space="preserve">Tyrving (z)</w:t>
            </w:r>
          </w:p>
        </w:tc>
        <w:tc>
          <w:tcPr/>
          <w:p>
            <w:pPr>
              <w:pStyle w:val="Compact"/>
            </w:pPr>
            <w:r>
              <w:t xml:space="preserve">0.92</w:t>
            </w:r>
          </w:p>
        </w:tc>
        <w:tc>
          <w:tcPr/>
          <w:p>
            <w:pPr>
              <w:pStyle w:val="Compact"/>
            </w:pPr>
            <w:r>
              <w:t xml:space="preserve">&lt; .001</w:t>
            </w:r>
          </w:p>
        </w:tc>
      </w:tr>
      <w:tr>
        <w:tc>
          <w:tcPr/>
          <w:p>
            <w:pPr>
              <w:pStyle w:val="Compact"/>
            </w:pPr>
            <w:r>
              <w:t xml:space="preserve">Volume at age 15–16 (z)</w:t>
            </w:r>
          </w:p>
        </w:tc>
        <w:tc>
          <w:tcPr/>
          <w:p>
            <w:pPr>
              <w:pStyle w:val="Compact"/>
            </w:pPr>
            <w:r>
              <w:t xml:space="preserve">0.47</w:t>
            </w:r>
          </w:p>
        </w:tc>
        <w:tc>
          <w:tcPr/>
          <w:p>
            <w:pPr>
              <w:pStyle w:val="Compact"/>
            </w:pPr>
            <w:r>
              <w:t xml:space="preserve">&lt; .001</w:t>
            </w:r>
          </w:p>
        </w:tc>
      </w:tr>
      <w:tr>
        <w:tc>
          <w:tcPr/>
          <w:p>
            <w:pPr>
              <w:pStyle w:val="Compact"/>
            </w:pPr>
            <w:r>
              <w:t xml:space="preserve">Championship types</w:t>
            </w:r>
          </w:p>
        </w:tc>
        <w:tc>
          <w:tcPr/>
          <w:p>
            <w:pPr>
              <w:pStyle w:val="Compact"/>
            </w:pPr>
            <w:r>
              <w:t xml:space="preserve">0.71</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0.99</w:t>
            </w:r>
          </w:p>
        </w:tc>
        <w:tc>
          <w:tcPr/>
          <w:p>
            <w:pPr>
              <w:pStyle w:val="Compact"/>
            </w:pPr>
            <w:r>
              <w:t xml:space="preserve">[0.93, 1.05]</w:t>
            </w:r>
          </w:p>
        </w:tc>
        <w:tc>
          <w:tcPr/>
          <w:p>
            <w:pPr>
              <w:pStyle w:val="Compact"/>
            </w:pPr>
            <w:r>
              <w:t xml:space="preserve">.674</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0.97</w:t>
            </w:r>
          </w:p>
        </w:tc>
        <w:tc>
          <w:tcPr/>
          <w:p>
            <w:pPr>
              <w:pStyle w:val="Compact"/>
            </w:pPr>
            <w:r>
              <w:t xml:space="preserve">[0.91, 1.03]</w:t>
            </w:r>
          </w:p>
        </w:tc>
        <w:tc>
          <w:tcPr/>
          <w:p>
            <w:pPr>
              <w:pStyle w:val="Compact"/>
            </w:pPr>
            <w:r>
              <w:t xml:space="preserve">.284</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0.49</w:t>
            </w:r>
          </w:p>
        </w:tc>
        <w:tc>
          <w:tcPr/>
          <w:p>
            <w:pPr>
              <w:pStyle w:val="Compact"/>
            </w:pPr>
            <w: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0.61</w:t>
            </w:r>
          </w:p>
        </w:tc>
        <w:tc>
          <w:tcPr/>
          <w:p>
            <w:pPr>
              <w:pStyle w:val="Compact"/>
            </w:pPr>
            <w:r>
              <w:t xml:space="preserve">[0.55, 0.68]</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0.84</w:t>
            </w:r>
          </w:p>
        </w:tc>
        <w:tc>
          <w:tcPr/>
          <w:p>
            <w:pPr>
              <w:pStyle w:val="Compact"/>
            </w:pPr>
            <w:r>
              <w:t xml:space="preserve">[0.78, 0.90]</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[0.92, 1.05]</w:t>
            </w:r>
          </w:p>
        </w:tc>
        <w:tc>
          <w:tcPr/>
          <w:p>
            <w:pPr>
              <w:pStyle w:val="Compact"/>
            </w:pPr>
            <w:r>
              <w:t xml:space="preserve">.671</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0.78</w:t>
            </w:r>
          </w:p>
        </w:tc>
        <w:tc>
          <w:tcPr/>
          <w:p>
            <w:pPr>
              <w:pStyle w:val="Compact"/>
            </w:pPr>
            <w: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0.852 (male) and 0.844 (female). The dominant behavioral covariate is near-identical across sexes (volume HR 0.49 vs 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1.25</w:t>
            </w:r>
          </w:p>
        </w:tc>
        <w:tc>
          <w:tcPr/>
          <w:p>
            <w:pPr>
              <w:pStyle w:val="Compact"/>
            </w:pPr>
            <w:r>
              <w:t xml:space="preserve">[1.10, 1.43]</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[0.85, 0.98]</w:t>
            </w:r>
          </w:p>
        </w:tc>
        <w:tc>
          <w:tcPr/>
          <w:p>
            <w:pPr>
              <w:pStyle w:val="Compact"/>
            </w:pPr>
            <w:r>
              <w:t xml:space="preserve">.014</w:t>
            </w:r>
          </w:p>
        </w:tc>
      </w:tr>
      <w:tr>
        <w:tc>
          <w:tcPr/>
          <w:p>
            <w:pPr>
              <w:pStyle w:val="Compact"/>
            </w:pPr>
            <w:r>
              <w:t xml:space="preserve">HHI, ages 13–14 (z)</w:t>
            </w:r>
          </w:p>
        </w:tc>
        <w:tc>
          <w:tcPr/>
          <w:p>
            <w:pPr>
              <w:pStyle w:val="Compact"/>
            </w:pPr>
            <w:r>
              <w:t xml:space="preserve">0.90</w:t>
            </w:r>
          </w:p>
        </w:tc>
        <w:tc>
          <w:tcPr/>
          <w:p>
            <w:pPr>
              <w:pStyle w:val="Compact"/>
            </w:pPr>
            <w:r>
              <w:t xml:space="preserve">[0.85, 0.97]</w:t>
            </w:r>
          </w:p>
        </w:tc>
        <w:tc>
          <w:tcPr/>
          <w:p>
            <w:pPr>
              <w:pStyle w:val="Compact"/>
            </w:pPr>
            <w:r>
              <w:t xml:space="preserve">.003</w:t>
            </w:r>
          </w:p>
        </w:tc>
      </w:tr>
      <w:tr>
        <w:tc>
          <w:tcPr/>
          <w:p>
            <w:pPr>
              <w:pStyle w:val="Compact"/>
            </w:pPr>
            <w:r>
              <w:rPr>
                <w:b/>
                <w:bCs/>
              </w:rPr>
              <w:t xml:space="preserve">Volume at age 15–16 (z)</w:t>
            </w:r>
          </w:p>
        </w:tc>
        <w:tc>
          <w:tcPr/>
          <w:p>
            <w:pPr>
              <w:pStyle w:val="Compact"/>
            </w:pPr>
            <w:r>
              <w:t xml:space="preserve">0.71</w:t>
            </w:r>
          </w:p>
        </w:tc>
        <w:tc>
          <w:tcPr/>
          <w:p>
            <w:pPr>
              <w:pStyle w:val="Compact"/>
            </w:pPr>
            <w:r>
              <w:t xml:space="preserve">[0.65, 0.78]</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0.89]</w:t>
            </w:r>
          </w:p>
        </w:tc>
        <w:tc>
          <w:tcPr/>
          <w:p>
            <w:pPr>
              <w:pStyle w:val="Compact"/>
            </w:pPr>
            <w:r>
              <w:t xml:space="preserve">&lt; .001</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1.37]</w:t>
            </w:r>
          </w:p>
        </w:tc>
        <w:tc>
          <w:tcPr/>
          <w:p>
            <w:pPr>
              <w:pStyle w:val="Compact"/>
            </w:pPr>
            <w:r>
              <w:t xml:space="preserve">&lt; .001</w:t>
            </w:r>
          </w:p>
        </w:tc>
      </w:tr>
      <w:tr>
        <w:tc>
          <w:tcPr/>
          <w:p>
            <w:pPr>
              <w:pStyle w:val="Compact"/>
            </w:pPr>
            <w:r>
              <w:t xml:space="preserve">Tyrving (z)</w:t>
            </w:r>
          </w:p>
        </w:tc>
        <w:tc>
          <w:tcPr/>
          <w:p>
            <w:pPr>
              <w:pStyle w:val="Compact"/>
            </w:pPr>
            <w:r>
              <w:t xml:space="preserve">0.92</w:t>
            </w:r>
          </w:p>
        </w:tc>
        <w:tc>
          <w:tcPr/>
          <w:p>
            <w:pPr>
              <w:pStyle w:val="Compact"/>
            </w:pPr>
            <w:r>
              <w:t xml:space="preserve">[0.87, 0.98]</w:t>
            </w:r>
          </w:p>
        </w:tc>
        <w:tc>
          <w:tcPr/>
          <w:p>
            <w:pPr>
              <w:pStyle w:val="Compact"/>
            </w:pPr>
            <w:r>
              <w:t xml:space="preserve">.006</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.104</w:t>
            </w:r>
          </w:p>
        </w:tc>
      </w:tr>
      <w:tr>
        <w:tc>
          <w:tcPr/>
          <w:p>
            <w:pPr>
              <w:pStyle w:val="Compact"/>
            </w:pPr>
            <w:r>
              <w:rPr>
                <w:b/>
                <w:bCs/>
              </w:rPr>
              <w:t xml:space="preserve">Volume at age 15–16 (z)</w:t>
            </w:r>
          </w:p>
        </w:tc>
        <w:tc>
          <w:tcPr/>
          <w:p>
            <w:pPr>
              <w:pStyle w:val="Compact"/>
            </w:pPr>
            <w:r>
              <w:t xml:space="preserve">0.55</w:t>
            </w:r>
          </w:p>
        </w:tc>
        <w:tc>
          <w:tcPr/>
          <w:p>
            <w:pPr>
              <w:pStyle w:val="Compact"/>
            </w:pPr>
            <w:r>
              <w:t xml:space="preserve">[0.50, 0.60]</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[0.70, 0.82]</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Map of the main analysis samples;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1.83</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1.16</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1.06</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 Region could not be determined for 2 athletes, who fall in the reference region (western Norway).</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.042</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.028</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.059</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1.54</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.013</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0.83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1.34]</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2.07</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corrected index is undefined for the 12 athletes with a single result at ages 13–14.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(maximum likelihood)</w:t>
            </w:r>
          </w:p>
        </w:tc>
        <w:tc>
          <w:tcPr/>
          <w:p>
            <w:pPr>
              <w:pStyle w:val="Compact"/>
            </w:pPr>
            <w:r>
              <w:t xml:space="preserve">2.07 [1.80, 2.37]</w:t>
            </w:r>
          </w:p>
        </w:tc>
        <w:tc>
          <w:tcPr/>
          <w:p>
            <w:pPr>
              <w:pStyle w:val="Compact"/>
            </w:pPr>
            <w:r>
              <w:t xml:space="preserve">2,136</w:t>
            </w:r>
          </w:p>
        </w:tc>
      </w:tr>
      <w:tr>
        <w:tc>
          <w:tcPr/>
          <w:p>
            <w:pPr>
              <w:pStyle w:val="Compact"/>
            </w:pPr>
            <w:r>
              <w:t xml:space="preserve">HHI OR, club random intercepts (maximum likelihood)</w:t>
            </w:r>
          </w:p>
        </w:tc>
        <w:tc>
          <w:tcPr/>
          <w:p>
            <w:pPr>
              <w:pStyle w:val="Compact"/>
            </w:pPr>
            <w:r>
              <w:t xml:space="preserve">1.17 [1.03, 1.34]</w:t>
            </w:r>
          </w:p>
        </w:tc>
        <w:tc>
          <w:tcPr/>
          <w:p>
            <w:pPr>
              <w:pStyle w:val="Compact"/>
            </w:pPr>
            <w:r>
              <w:t xml:space="preserve">2,136</w:t>
            </w:r>
          </w:p>
        </w:tc>
      </w:tr>
      <w:tr>
        <w:tc>
          <w:tcPr/>
          <w:p>
            <w:pPr>
              <w:pStyle w:val="Compact"/>
            </w:pPr>
            <w:r>
              <w:t xml:space="preserve">SD of the club intercepts (log-odds); likelihood-ratio test of no club variation</w:t>
            </w:r>
          </w:p>
        </w:tc>
        <w:tc>
          <w:tcPr/>
          <w:p>
            <w:pPr>
              <w:pStyle w:val="Compact"/>
            </w:pPr>
            <w:r>
              <w:t xml:space="preserve">0.17; p = .311</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further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[5.9, 9.6]</w:t>
            </w:r>
          </w:p>
        </w:tc>
        <w:tc>
          <w:tcPr/>
          <w:p>
            <w:pPr>
              <w:pStyle w:val="Compact"/>
            </w:pPr>
            <w:r>
              <w:t xml:space="preserve">29.0% [25.0, 32.9]</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0.64]</w:t>
            </w:r>
          </w:p>
        </w:tc>
        <w:tc>
          <w:tcPr/>
          <w:p>
            <w:pPr>
              <w:pStyle w:val="Compact"/>
            </w:pPr>
            <w:r>
              <w:t xml:space="preserve">0.70 [0.63, 0.78]</w:t>
            </w:r>
          </w:p>
        </w:tc>
        <w:tc>
          <w:tcPr/>
          <w:p>
            <w:pPr>
              <w:pStyle w:val="Compact"/>
            </w:pPr>
            <w:r>
              <w:t xml:space="preserve">0.91 [0.88, 0.93]</w:t>
            </w:r>
          </w:p>
        </w:tc>
        <w:tc>
          <w:tcPr/>
          <w:p>
            <w:pPr>
              <w:pStyle w:val="Compact"/>
            </w:pPr>
            <w:r>
              <w:t xml:space="preserve">9.1% [6.6, 11.8]</w:t>
            </w:r>
          </w:p>
        </w:tc>
        <w:tc>
          <w:tcPr/>
          <w:p>
            <w:pPr>
              <w:pStyle w:val="Compact"/>
            </w:pPr>
            <w:r>
              <w:t xml:space="preserve">26.9% [22.5,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[0.49, 0.65]</w:t>
            </w:r>
          </w:p>
        </w:tc>
        <w:tc>
          <w:tcPr/>
          <w:p>
            <w:pPr>
              <w:pStyle w:val="Compact"/>
            </w:pPr>
            <w:r>
              <w:t xml:space="preserve">0.90 [0.87, 0.92]</w:t>
            </w:r>
          </w:p>
        </w:tc>
        <w:tc>
          <w:tcPr/>
          <w:p>
            <w:pPr>
              <w:pStyle w:val="Compact"/>
            </w:pPr>
            <w:r>
              <w:t xml:space="preserve">10.3% [7.8, 12.7]</w:t>
            </w:r>
          </w:p>
        </w:tc>
        <w:tc>
          <w:tcPr/>
          <w:p>
            <w:pPr>
              <w:pStyle w:val="Compact"/>
            </w:pPr>
            <w:r>
              <w:t xml:space="preserve">33.8% [27.5, 39.6]</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[0.45, 0.58]</w:t>
            </w:r>
          </w:p>
        </w:tc>
        <w:tc>
          <w:tcPr/>
          <w:p>
            <w:pPr>
              <w:pStyle w:val="Compact"/>
            </w:pPr>
            <w:r>
              <w:t xml:space="preserve">0.90 [0.88, 0.92]</w:t>
            </w:r>
          </w:p>
        </w:tc>
        <w:tc>
          <w:tcPr/>
          <w:p>
            <w:pPr>
              <w:pStyle w:val="Compact"/>
            </w:pPr>
            <w:r>
              <w:t xml:space="preserve">10.1% [8.2, 11.9]</w:t>
            </w:r>
          </w:p>
        </w:tc>
        <w:tc>
          <w:tcPr/>
          <w:p>
            <w:pPr>
              <w:pStyle w:val="Compact"/>
            </w:pPr>
            <w:r>
              <w:t xml:space="preserve">34.8% [29.6, 40.3]</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0.740</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0.680</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w:t>
      </w:r>
      <w:r>
        <w:t xml:space="preserve"> </w:t>
      </w:r>
      <w:r>
        <w:rPr>
          <w:i/>
          <w:iCs/>
        </w:rPr>
        <w:t xml:space="preserve">p</w:t>
      </w:r>
      <w:r>
        <w:t xml:space="preserve"> </w:t>
      </w:r>
      <w:r>
        <w:t xml:space="preserve">= .42.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district, youth-national, junior-national, and senior-national championships; classification in Supplementary Methods S-M12).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 Declining competition participation 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 cross-validated discrimination and calibration, internal cohort replication, candidate threshold)</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 register extract of May 2026, Supplementary Methods S-M12)</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contamination-free change model + athlete fixed-effects model, S-M6), S-M1 (landmark timing), §3.4/S-M7 (club confounding; club-grouped validation, S-M4), S-M10 (temporary gaps and returns), §4.2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 §2.5.1 (z-standardization, within training folds in cross-validation;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 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§2.4.1 and §2.5.4 (censoring for athletes active 2024+), Supplementary Table S24 (fixed observation window);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 S22, S24,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(baseline Tyrving and sex missing for the same 2 athletes, 0.1%; HHI, volume and the outcome complete);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 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2026-10-03T12:27:31Z</dcterms:created>
  <dcterms:modified xsi:type="dcterms:W3CDTF">2026-10-03T12:27:31Z</dcterms:modified>
</cp:coreProperties>
</file>

<file path=docProps/custom.xml><?xml version="1.0" encoding="utf-8"?>
<Properties xmlns="http://schemas.openxmlformats.org/officeDocument/2006/custom-properties" xmlns:vt="http://schemas.openxmlformats.org/officeDocument/2006/docPropsVTypes"/>
</file>