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igure-captions"/>
    <w:p>
      <w:pPr>
        <w:pStyle w:val="Heading1"/>
      </w:pPr>
      <w:r>
        <w:t xml:space="preserve">Figure captions</w:t>
      </w:r>
    </w:p>
    <w:p>
      <w:pPr>
        <w:pStyle w:val="FirstParagraph"/>
      </w:pPr>
      <w:r>
        <w:t xml:space="preserve">(Each figure is submitted as a separate PNG file; captions are listed here for the manuscript.)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A behavioral-marker model of youth-sport disengagement. The diagram shows the relationship being tested: theoretical mechanisms hypothesized by the Sport Commitment Model, self-determination theory, and the role-exit / withdrawal-as-process tradition (left) are not directly observed, but are predicted to leave a footprint in measurable competition behavior (centre), which precedes the outcome of active senior retention (right).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Competition volume trajectory by senior-retention status. Median competitions per year (with interquartile range as shaded band) plotted by athlete age (13–18), separately for athletes who retained active senior status (≥2 results in any year at age ≥20; n = 348) and those who did not (n = 1,775). The dashed vertical line at age 15 marks the first qualification milestone (Norwegian Youth Championships). Future retainers and future dropouts already differ at ages 13–14; the gap widens further across the age-14-to-15 transition.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Kaplan–Meier retention curves stratified by total competition volume across ages 15 and 16 (descriptive). Strata are: 0 meets, 1–5 meets, 6–15 meets, 16–30 meets, and 31+ meets. Athletes in the highest stratum retained 71% senior activity at follow-up year 14; athletes in the lowest stratum retained 4%. (Note: this descriptive stratification uses post-baseline measurement; primary effect estimates in Table 3 use only baseline-window predictors.)</w:t>
      </w:r>
    </w:p>
    <w:p>
      <w:r>
        <w:pict>
          <v:rect style="width:0;height:1.5pt" o:hralign="center" o:hrstd="t" o:hr="t"/>
        </w:pict>
      </w:r>
    </w:p>
    <w:bookmarkEnd w:id="9"/>
    <w:bookmarkStart w:id="10" w:name="supplementary-figure-captions"/>
    <w:p>
      <w:pPr>
        <w:pStyle w:val="Heading1"/>
      </w:pPr>
      <w:r>
        <w:t xml:space="preserve">Supplementary figure captions</w:t>
      </w:r>
    </w:p>
    <w:p>
      <w:pPr>
        <w:pStyle w:val="FirstParagraph"/>
      </w:pPr>
      <w:r>
        <w:rPr>
          <w:b/>
          <w:bCs/>
        </w:rPr>
        <w:t xml:space="preserve">Figure S0.</w:t>
      </w:r>
      <w:r>
        <w:t xml:space="preserve"> </w:t>
      </w:r>
      <w:r>
        <w:t xml:space="preserve">Cohort construction flow diagram. Boundary birth years 1997 and 2003 were excluded because they had only one possible eligible edition in the cohort window. Athletes who attended both the 13-year-old and 14-year-old editions were deduplicated, with the earlier edition used as baseline. Complete-case analysis used 1,704 of 2,123 athletes; missingness was driven mainly by the Tyrving score (~20% missing) and the HHI index (~10% missing).</w:t>
      </w:r>
    </w:p>
    <w:p>
      <w:pPr>
        <w:pStyle w:val="BodyText"/>
      </w:pPr>
      <w:r>
        <w:rPr>
          <w:b/>
          <w:bCs/>
        </w:rPr>
        <w:t xml:space="preserve">Figure S1.</w:t>
      </w:r>
      <w:r>
        <w:t xml:space="preserve"> </w:t>
      </w:r>
      <w:r>
        <w:t xml:space="preserve">Calibration plot for the full Cox model. Predicted probability of senior retention is binned into deciles (x-axis); the y-axis shows the observed proportion retained in each decile. Points falling on the diagonal indicate perfect calibration.</w:t>
      </w:r>
    </w:p>
    <w:p>
      <w:pPr>
        <w:pStyle w:val="BodyText"/>
      </w:pPr>
      <w:r>
        <w:rPr>
          <w:b/>
          <w:bCs/>
        </w:rPr>
        <w:t xml:space="preserve">Figure S2.</w:t>
      </w:r>
      <w:r>
        <w:t xml:space="preserve"> </w:t>
      </w:r>
      <w:r>
        <w:t xml:space="preserve">Random forest variable importances (top 15) for predicting active senior status. Bars show the mean decrease in Gini impurity across 500 trees. Volume-based features dominate the top six positions; sex enters near the bottom. Reported as convergent non-parametric evidence.</w:t>
      </w:r>
    </w:p>
    <w:p>
      <w:pPr>
        <w:pStyle w:val="BodyText"/>
      </w:pPr>
      <w:r>
        <w:rPr>
          <w:b/>
          <w:bCs/>
        </w:rPr>
        <w:t xml:space="preserve">Figure S3.</w:t>
      </w:r>
      <w:r>
        <w:t xml:space="preserve"> </w:t>
      </w:r>
      <w:r>
        <w:t xml:space="preserve">Kaplan–Meier retention curves: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overall retention from baseline (age 13/14);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retention stratified by sex. Log-rank test for sex difference: χ² = 0.95, p = 0.33.</w:t>
      </w:r>
    </w:p>
    <w:p>
      <w:pPr>
        <w:pStyle w:val="BodyText"/>
      </w:pPr>
      <w:r>
        <w:rPr>
          <w:b/>
          <w:bCs/>
        </w:rPr>
        <w:t xml:space="preserve">Figure S4.</w:t>
      </w:r>
      <w:r>
        <w:t xml:space="preserve"> </w:t>
      </w:r>
      <w:r>
        <w:t xml:space="preserve">Kaplan–Meier retention curves stratified by the number of championship types entered before age 17 (range 0–4, comprising regional, youth-national, junior-national, and senior-national championships). Retention is strongly monotonic in number of championship types.</w:t>
      </w:r>
    </w:p>
    <w:p>
      <w:pPr>
        <w:pStyle w:val="BodyText"/>
      </w:pPr>
      <w:r>
        <w:rPr>
          <w:b/>
          <w:bCs/>
        </w:rPr>
        <w:t xml:space="preserve">Figure S5.</w:t>
      </w:r>
      <w:r>
        <w:t xml:space="preserve"> </w:t>
      </w:r>
      <w:r>
        <w:t xml:space="preserve">Time-varying hazard ratios from the secondary (post-baseline) Cox specification across three follow-up periods (years 0–3, 3–6, 6+ post-baseline). Hazard ratios are per-SD for standardized covariates and per-unit for championship types and female. Note: the early-window HR for ages-15–16 volume partly reflects operational overlap between predictor and outcome (low milestone volume is mechanical for athletes who drop out before age 15); this estimate is descriptive of the time-varying association rather than an independent prospective effect.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2026-05-23T20:39:29Z</dcterms:created>
  <dcterms:modified xsi:type="dcterms:W3CDTF">2026-05-23T20:39:29Z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